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B5603" w14:textId="77777777" w:rsidR="00C27485" w:rsidRDefault="00C27485" w:rsidP="00AA6FAF">
      <w:pPr>
        <w:jc w:val="center"/>
        <w:rPr>
          <w:lang w:val="es-ES"/>
        </w:rPr>
      </w:pPr>
    </w:p>
    <w:p w14:paraId="11AC9296" w14:textId="77777777" w:rsidR="00C27485" w:rsidRDefault="00C27485" w:rsidP="00AA6FAF">
      <w:pPr>
        <w:jc w:val="center"/>
        <w:rPr>
          <w:lang w:val="es-ES"/>
        </w:rPr>
      </w:pPr>
    </w:p>
    <w:p w14:paraId="3F2152DD" w14:textId="12D47385" w:rsidR="00AA6FAF" w:rsidRPr="006007E0" w:rsidRDefault="00AA6FAF" w:rsidP="00AA6FAF">
      <w:pPr>
        <w:jc w:val="center"/>
        <w:rPr>
          <w:lang w:val="es-ES"/>
        </w:rPr>
      </w:pPr>
      <w:r w:rsidRPr="00A47724">
        <w:rPr>
          <w:lang w:val="es-ES"/>
        </w:rPr>
        <w:t>Centro de Investigaciones de Política Internacional (CIPI)</w:t>
      </w:r>
      <w:r w:rsidR="006007E0">
        <w:rPr>
          <w:lang w:val="es-ES"/>
        </w:rPr>
        <w:br/>
      </w:r>
      <w:r w:rsidR="00C83173" w:rsidRPr="00C83173">
        <w:rPr>
          <w:rFonts w:eastAsia="Times New Roman" w:cs="Times New Roman"/>
          <w:szCs w:val="24"/>
          <w:lang w:val="es-ES"/>
        </w:rPr>
        <w:t>con el coauspicio del</w:t>
      </w:r>
      <w:r w:rsidR="006007E0">
        <w:rPr>
          <w:lang w:val="es-ES"/>
        </w:rPr>
        <w:br/>
      </w:r>
      <w:r w:rsidR="006007E0" w:rsidRPr="006007E0">
        <w:rPr>
          <w:rFonts w:eastAsia="Times New Roman" w:cs="Times New Roman"/>
          <w:szCs w:val="24"/>
          <w:lang w:val="es-ES"/>
        </w:rPr>
        <w:t>Instituto Superior de Relaciones Internacionales (ISRI)</w:t>
      </w:r>
      <w:r w:rsidR="00C83173">
        <w:rPr>
          <w:rFonts w:eastAsia="Times New Roman" w:cs="Times New Roman"/>
          <w:szCs w:val="24"/>
          <w:lang w:val="es-ES"/>
        </w:rPr>
        <w:br/>
        <w:t>La Habana, Cuba</w:t>
      </w:r>
    </w:p>
    <w:p w14:paraId="7C74C8B7" w14:textId="26F5FC29" w:rsidR="00AA6FAF" w:rsidRPr="00A47724" w:rsidRDefault="00AA6FAF" w:rsidP="00AA6FAF">
      <w:pPr>
        <w:jc w:val="center"/>
        <w:rPr>
          <w:rFonts w:eastAsia="Times New Roman"/>
          <w:lang w:val="es-ES" w:eastAsia="es-CU"/>
        </w:rPr>
      </w:pPr>
      <w:r w:rsidRPr="00A47724">
        <w:rPr>
          <w:lang w:val="es-ES"/>
        </w:rPr>
        <w:t>“XX</w:t>
      </w:r>
      <w:r>
        <w:rPr>
          <w:lang w:val="es-ES"/>
        </w:rPr>
        <w:t>I</w:t>
      </w:r>
      <w:r w:rsidR="00EA0D4D">
        <w:rPr>
          <w:lang w:val="es-ES"/>
        </w:rPr>
        <w:t>I</w:t>
      </w:r>
      <w:r w:rsidRPr="00A47724">
        <w:rPr>
          <w:lang w:val="es-ES"/>
        </w:rPr>
        <w:t xml:space="preserve"> Edición de la Serie de Conversaciones: Cuba en la Política Exterior de los Estados Unidos de América”</w:t>
      </w:r>
      <w:r w:rsidRPr="00E127D2">
        <w:rPr>
          <w:rFonts w:eastAsia="Times New Roman"/>
          <w:lang w:val="es-ES" w:eastAsia="es-CU"/>
        </w:rPr>
        <w:t xml:space="preserve"> </w:t>
      </w:r>
      <w:r>
        <w:rPr>
          <w:rFonts w:eastAsia="Times New Roman"/>
          <w:lang w:val="es-ES" w:eastAsia="es-CU"/>
        </w:rPr>
        <w:br/>
      </w:r>
      <w:r w:rsidRPr="00700058">
        <w:rPr>
          <w:rFonts w:eastAsia="Times New Roman"/>
          <w:i/>
          <w:iCs/>
          <w:lang w:val="es-ES" w:eastAsia="es-CU"/>
        </w:rPr>
        <w:t>“</w:t>
      </w:r>
      <w:r w:rsidR="00096DB3" w:rsidRPr="00D7496C">
        <w:rPr>
          <w:rFonts w:eastAsia="Times New Roman" w:cs="Times New Roman"/>
          <w:b/>
          <w:bCs/>
          <w:szCs w:val="24"/>
          <w:lang w:val="es-ES"/>
        </w:rPr>
        <w:t>“</w:t>
      </w:r>
      <w:r w:rsidR="00096DB3">
        <w:rPr>
          <w:rFonts w:eastAsia="Times New Roman" w:cs="Times New Roman"/>
          <w:b/>
          <w:bCs/>
          <w:szCs w:val="24"/>
          <w:lang w:val="es-ES"/>
        </w:rPr>
        <w:t>El camino hacia una relación diplomática: Diez años después”</w:t>
      </w:r>
      <w:r w:rsidRPr="00AA6FAF">
        <w:rPr>
          <w:rFonts w:eastAsia="Times New Roman"/>
          <w:i/>
          <w:iCs/>
          <w:lang w:val="es-ES" w:eastAsia="es-CU"/>
        </w:rPr>
        <w:t>”</w:t>
      </w:r>
      <w:r w:rsidRPr="00AA6FAF">
        <w:rPr>
          <w:rFonts w:eastAsia="Times New Roman"/>
          <w:lang w:val="es-ES" w:eastAsia="es-CU"/>
        </w:rPr>
        <w:br/>
      </w:r>
    </w:p>
    <w:p w14:paraId="27450BEB" w14:textId="03579D6E" w:rsidR="00AA6FAF" w:rsidRDefault="00AA6FAF" w:rsidP="00AA6FAF">
      <w:pPr>
        <w:jc w:val="center"/>
        <w:rPr>
          <w:lang w:val="es-ES"/>
        </w:rPr>
      </w:pPr>
      <w:r w:rsidRPr="00957F8C">
        <w:rPr>
          <w:lang w:val="es-ES"/>
        </w:rPr>
        <w:t xml:space="preserve">Panel </w:t>
      </w:r>
      <w:r>
        <w:rPr>
          <w:lang w:val="es-ES"/>
        </w:rPr>
        <w:t>1</w:t>
      </w:r>
      <w:r w:rsidRPr="00957F8C">
        <w:rPr>
          <w:lang w:val="es-ES"/>
        </w:rPr>
        <w:t xml:space="preserve">: </w:t>
      </w:r>
      <w:r w:rsidR="00D7496C">
        <w:rPr>
          <w:rFonts w:cs="Times New Roman"/>
          <w:szCs w:val="24"/>
          <w:lang w:val="es-ES"/>
        </w:rPr>
        <w:t>Diez años del restablecimiento de relaciones diplomáticas entre Cuba y EE.UU.</w:t>
      </w:r>
      <w:r>
        <w:rPr>
          <w:lang w:val="es-ES"/>
        </w:rPr>
        <w:br/>
      </w:r>
      <w:r w:rsidR="00CE4706">
        <w:rPr>
          <w:lang w:val="es-ES"/>
        </w:rPr>
        <w:t>17</w:t>
      </w:r>
      <w:r w:rsidRPr="00957F8C">
        <w:rPr>
          <w:lang w:val="es-ES"/>
        </w:rPr>
        <w:t xml:space="preserve"> diciembre 202</w:t>
      </w:r>
      <w:r w:rsidR="00CE4706">
        <w:rPr>
          <w:lang w:val="es-ES"/>
        </w:rPr>
        <w:t>4</w:t>
      </w:r>
    </w:p>
    <w:p w14:paraId="1EE6FE88" w14:textId="4EAF22B4" w:rsidR="00AA6FAF" w:rsidRPr="00E127D2" w:rsidRDefault="00AA6FAF" w:rsidP="00AA6FAF">
      <w:pPr>
        <w:jc w:val="center"/>
        <w:rPr>
          <w:b/>
          <w:bCs/>
        </w:rPr>
      </w:pPr>
      <w:r w:rsidRPr="004365DC">
        <w:rPr>
          <w:rFonts w:eastAsia="Times New Roman"/>
          <w:b/>
          <w:bCs/>
          <w:lang w:eastAsia="es-CU"/>
        </w:rPr>
        <w:br/>
      </w:r>
      <w:r w:rsidR="00DA064F">
        <w:rPr>
          <w:b/>
          <w:bCs/>
        </w:rPr>
        <w:t xml:space="preserve">Why was it so easy for Trump and Biden to </w:t>
      </w:r>
      <w:r w:rsidR="00A9108E">
        <w:rPr>
          <w:b/>
          <w:bCs/>
        </w:rPr>
        <w:t xml:space="preserve">reverse </w:t>
      </w:r>
      <w:r w:rsidR="00857C3E">
        <w:rPr>
          <w:b/>
          <w:bCs/>
        </w:rPr>
        <w:t xml:space="preserve">the U.S.-Cuba </w:t>
      </w:r>
      <w:r w:rsidR="00A9108E">
        <w:rPr>
          <w:b/>
          <w:bCs/>
        </w:rPr>
        <w:t>normalization?</w:t>
      </w:r>
    </w:p>
    <w:p w14:paraId="1EBF57D0" w14:textId="77777777" w:rsidR="00AA6FAF" w:rsidRPr="00AA6FAF" w:rsidRDefault="00AA6FAF" w:rsidP="00AA6FAF">
      <w:pPr>
        <w:jc w:val="center"/>
      </w:pPr>
      <w:r w:rsidRPr="00AA6FAF">
        <w:t>Fulton T. ARMSTRONG</w:t>
      </w:r>
      <w:r w:rsidRPr="00AA6FAF">
        <w:br/>
        <w:t>Center for Latin American and Latino Studies</w:t>
      </w:r>
      <w:r w:rsidRPr="00AA6FAF">
        <w:br/>
        <w:t>American University</w:t>
      </w:r>
      <w:r w:rsidRPr="00AA6FAF">
        <w:br/>
        <w:t>Washington, DC</w:t>
      </w:r>
    </w:p>
    <w:p w14:paraId="2D988714" w14:textId="77777777" w:rsidR="00AA6FAF" w:rsidRPr="00A80A8F" w:rsidRDefault="00AA6FAF" w:rsidP="00AA6FAF">
      <w:pPr>
        <w:jc w:val="center"/>
        <w:rPr>
          <w:szCs w:val="24"/>
        </w:rPr>
      </w:pPr>
      <w:r w:rsidRPr="00A80A8F">
        <w:rPr>
          <w:szCs w:val="24"/>
        </w:rPr>
        <w:t>Remarks</w:t>
      </w:r>
    </w:p>
    <w:p w14:paraId="4F82CCCD" w14:textId="434E1934" w:rsidR="00AA6FAF" w:rsidRDefault="00AA6FAF" w:rsidP="00AA6FAF">
      <w:pPr>
        <w:rPr>
          <w:szCs w:val="24"/>
        </w:rPr>
      </w:pPr>
      <w:r w:rsidRPr="00A80A8F">
        <w:rPr>
          <w:szCs w:val="24"/>
        </w:rPr>
        <w:t xml:space="preserve">I would like to thank Ambassador Cabañas and his team at CIPI for inviting me </w:t>
      </w:r>
      <w:r w:rsidR="00A61C9F">
        <w:rPr>
          <w:szCs w:val="24"/>
        </w:rPr>
        <w:t xml:space="preserve">again </w:t>
      </w:r>
      <w:r w:rsidRPr="00A80A8F">
        <w:rPr>
          <w:szCs w:val="24"/>
        </w:rPr>
        <w:t xml:space="preserve">to this important </w:t>
      </w:r>
      <w:proofErr w:type="spellStart"/>
      <w:r w:rsidRPr="00A80A8F">
        <w:rPr>
          <w:i/>
          <w:iCs/>
          <w:szCs w:val="24"/>
        </w:rPr>
        <w:t>conversación</w:t>
      </w:r>
      <w:proofErr w:type="spellEnd"/>
      <w:r w:rsidRPr="00A80A8F">
        <w:rPr>
          <w:szCs w:val="24"/>
        </w:rPr>
        <w:t>.</w:t>
      </w:r>
      <w:r w:rsidR="00BE3348">
        <w:rPr>
          <w:szCs w:val="24"/>
        </w:rPr>
        <w:t xml:space="preserve"> </w:t>
      </w:r>
    </w:p>
    <w:p w14:paraId="577B7884" w14:textId="22BCB8CB" w:rsidR="00785012" w:rsidRDefault="00995C6C">
      <w:pPr>
        <w:rPr>
          <w:szCs w:val="24"/>
        </w:rPr>
      </w:pPr>
      <w:r w:rsidRPr="003D4966">
        <w:rPr>
          <w:szCs w:val="24"/>
        </w:rPr>
        <w:t xml:space="preserve">I was in the </w:t>
      </w:r>
      <w:r w:rsidR="00480324" w:rsidRPr="003D4966">
        <w:rPr>
          <w:szCs w:val="24"/>
        </w:rPr>
        <w:t>Teatro “Dr. C. Pelegrín Torras de la Luz</w:t>
      </w:r>
      <w:r w:rsidR="003D4966" w:rsidRPr="003D4966">
        <w:rPr>
          <w:szCs w:val="24"/>
        </w:rPr>
        <w:t>” at ISRI when many of</w:t>
      </w:r>
      <w:r w:rsidR="003D4966">
        <w:rPr>
          <w:szCs w:val="24"/>
        </w:rPr>
        <w:t xml:space="preserve"> us in this room watched our Presidents announce their historic agreement. </w:t>
      </w:r>
      <w:r w:rsidR="00A831CB">
        <w:rPr>
          <w:szCs w:val="24"/>
        </w:rPr>
        <w:t xml:space="preserve">As humans, we felt relief, joy, and hope. As analysts, we </w:t>
      </w:r>
      <w:r w:rsidR="00004F43">
        <w:rPr>
          <w:szCs w:val="24"/>
        </w:rPr>
        <w:t>saw that the drivers we’d been tracking for so long had finally aligned</w:t>
      </w:r>
      <w:r w:rsidR="00857C3E">
        <w:rPr>
          <w:szCs w:val="24"/>
        </w:rPr>
        <w:t xml:space="preserve"> to produce a new scenario</w:t>
      </w:r>
      <w:r w:rsidR="00004F43">
        <w:rPr>
          <w:szCs w:val="24"/>
        </w:rPr>
        <w:t xml:space="preserve">. We </w:t>
      </w:r>
      <w:r w:rsidR="00C306E4">
        <w:rPr>
          <w:szCs w:val="24"/>
        </w:rPr>
        <w:t>dared to express hope</w:t>
      </w:r>
      <w:r w:rsidR="00785012">
        <w:rPr>
          <w:szCs w:val="24"/>
        </w:rPr>
        <w:t xml:space="preserve">, even though – between shots of </w:t>
      </w:r>
      <w:r w:rsidR="00562FCD">
        <w:rPr>
          <w:i/>
          <w:iCs/>
          <w:szCs w:val="24"/>
        </w:rPr>
        <w:t>a</w:t>
      </w:r>
      <w:r w:rsidR="00562FCD" w:rsidRPr="00562FCD">
        <w:rPr>
          <w:i/>
          <w:iCs/>
          <w:szCs w:val="24"/>
        </w:rPr>
        <w:t>ñ</w:t>
      </w:r>
      <w:r w:rsidR="00562FCD">
        <w:rPr>
          <w:i/>
          <w:iCs/>
          <w:szCs w:val="24"/>
        </w:rPr>
        <w:t>ejo</w:t>
      </w:r>
      <w:r w:rsidR="00562FCD">
        <w:rPr>
          <w:szCs w:val="24"/>
        </w:rPr>
        <w:t xml:space="preserve"> that ISRI Director Allende graciously </w:t>
      </w:r>
      <w:r w:rsidR="00090231">
        <w:rPr>
          <w:szCs w:val="24"/>
        </w:rPr>
        <w:t xml:space="preserve">provided during lunch – we knew there </w:t>
      </w:r>
      <w:r w:rsidR="008027ED">
        <w:rPr>
          <w:szCs w:val="24"/>
        </w:rPr>
        <w:t xml:space="preserve">were </w:t>
      </w:r>
      <w:r w:rsidR="00857C3E">
        <w:rPr>
          <w:szCs w:val="24"/>
        </w:rPr>
        <w:t xml:space="preserve">obstacles and </w:t>
      </w:r>
      <w:r w:rsidR="008027ED">
        <w:rPr>
          <w:szCs w:val="24"/>
        </w:rPr>
        <w:t xml:space="preserve">skeptics on both sides and </w:t>
      </w:r>
      <w:r w:rsidR="00EA5C5C">
        <w:rPr>
          <w:szCs w:val="24"/>
        </w:rPr>
        <w:t xml:space="preserve">there </w:t>
      </w:r>
      <w:r w:rsidR="00090231">
        <w:rPr>
          <w:szCs w:val="24"/>
        </w:rPr>
        <w:t>was a lot of work to do.</w:t>
      </w:r>
    </w:p>
    <w:p w14:paraId="7D7A234D" w14:textId="710744C8" w:rsidR="00DD2D02" w:rsidRDefault="006F37B3">
      <w:r>
        <w:rPr>
          <w:szCs w:val="24"/>
        </w:rPr>
        <w:t xml:space="preserve">In Washington, </w:t>
      </w:r>
      <w:r w:rsidR="00B27337">
        <w:rPr>
          <w:szCs w:val="24"/>
        </w:rPr>
        <w:t>bureaucrats who stayed away from the Cuba issue</w:t>
      </w:r>
      <w:r w:rsidR="00BE3348" w:rsidRPr="00BE3348">
        <w:rPr>
          <w:szCs w:val="24"/>
        </w:rPr>
        <w:t xml:space="preserve"> </w:t>
      </w:r>
      <w:r w:rsidR="00BE3348">
        <w:rPr>
          <w:szCs w:val="24"/>
        </w:rPr>
        <w:t>or actually opposed normalization for many years</w:t>
      </w:r>
      <w:r w:rsidR="00B27337">
        <w:rPr>
          <w:szCs w:val="24"/>
        </w:rPr>
        <w:t xml:space="preserve">, </w:t>
      </w:r>
      <w:r w:rsidR="00EA5C5C">
        <w:rPr>
          <w:szCs w:val="24"/>
        </w:rPr>
        <w:t xml:space="preserve">fearful that it would hurt their careers, </w:t>
      </w:r>
      <w:r w:rsidR="000874F3">
        <w:rPr>
          <w:szCs w:val="24"/>
        </w:rPr>
        <w:t>joined the celebration</w:t>
      </w:r>
      <w:r w:rsidR="006201C9">
        <w:rPr>
          <w:szCs w:val="24"/>
        </w:rPr>
        <w:t>.</w:t>
      </w:r>
      <w:r w:rsidR="00BE3348">
        <w:rPr>
          <w:szCs w:val="24"/>
        </w:rPr>
        <w:t xml:space="preserve"> </w:t>
      </w:r>
      <w:r w:rsidR="006201C9">
        <w:rPr>
          <w:szCs w:val="24"/>
        </w:rPr>
        <w:t>But my notes from December 2014 and</w:t>
      </w:r>
      <w:r w:rsidR="0093525E">
        <w:rPr>
          <w:szCs w:val="24"/>
        </w:rPr>
        <w:t xml:space="preserve"> early 2015 </w:t>
      </w:r>
      <w:r w:rsidR="00857C3E">
        <w:rPr>
          <w:szCs w:val="24"/>
        </w:rPr>
        <w:t xml:space="preserve">remind me </w:t>
      </w:r>
      <w:r w:rsidR="0093525E">
        <w:rPr>
          <w:szCs w:val="24"/>
        </w:rPr>
        <w:t>that most of us who knew</w:t>
      </w:r>
      <w:r w:rsidR="00BE3348">
        <w:rPr>
          <w:szCs w:val="24"/>
        </w:rPr>
        <w:t xml:space="preserve"> </w:t>
      </w:r>
      <w:r w:rsidR="0093525E">
        <w:rPr>
          <w:szCs w:val="24"/>
        </w:rPr>
        <w:t xml:space="preserve">what we called the “anti-Cuba industry” in the United States </w:t>
      </w:r>
      <w:r w:rsidR="00A600CB">
        <w:rPr>
          <w:szCs w:val="24"/>
        </w:rPr>
        <w:t xml:space="preserve">knew that the </w:t>
      </w:r>
      <w:r w:rsidR="0093525E">
        <w:rPr>
          <w:szCs w:val="24"/>
        </w:rPr>
        <w:t>e</w:t>
      </w:r>
      <w:r w:rsidR="00AA6FAF" w:rsidRPr="00AA6FAF">
        <w:t xml:space="preserve">nthusiasm within the U.S. Government for </w:t>
      </w:r>
      <w:r w:rsidR="00BE3348">
        <w:t xml:space="preserve">the </w:t>
      </w:r>
      <w:r w:rsidR="00AA6FAF" w:rsidRPr="00AA6FAF">
        <w:t>Presidents</w:t>
      </w:r>
      <w:r w:rsidR="00BE3348">
        <w:t>’</w:t>
      </w:r>
      <w:r w:rsidR="00AA6FAF" w:rsidRPr="00AA6FAF">
        <w:t xml:space="preserve"> historic decision was fragile from the beginning</w:t>
      </w:r>
      <w:r w:rsidR="00DD2D02">
        <w:t>.</w:t>
      </w:r>
      <w:r w:rsidR="00BE3348">
        <w:t xml:space="preserve"> </w:t>
      </w:r>
      <w:r w:rsidR="00DD2D02">
        <w:t xml:space="preserve">The “industry” was not just a couple Members of Congress; it was the network of </w:t>
      </w:r>
      <w:r w:rsidR="00122BAC">
        <w:t>well-funded programs</w:t>
      </w:r>
      <w:r w:rsidR="0080297A">
        <w:t xml:space="preserve">, contractors, and bureaucrats </w:t>
      </w:r>
      <w:r w:rsidR="007E7282">
        <w:t xml:space="preserve">devoted to </w:t>
      </w:r>
      <w:r w:rsidR="00673FFF">
        <w:t>overthrowing the Cuban government</w:t>
      </w:r>
      <w:r w:rsidR="00857C3E">
        <w:t>, or at least purging it of its revolutionary essence,</w:t>
      </w:r>
      <w:r w:rsidR="0080297A">
        <w:t xml:space="preserve"> and </w:t>
      </w:r>
      <w:r w:rsidR="006A6F91">
        <w:t>keeping bilateral relations off balance</w:t>
      </w:r>
      <w:r w:rsidR="00BE3348">
        <w:t xml:space="preserve"> to achieve that goal</w:t>
      </w:r>
      <w:r w:rsidR="006A6F91">
        <w:t>.</w:t>
      </w:r>
      <w:r w:rsidR="00BE3348">
        <w:t xml:space="preserve"> </w:t>
      </w:r>
      <w:r w:rsidR="00BA5620">
        <w:t>The announcement of normalization set the industry on its back foot</w:t>
      </w:r>
      <w:r w:rsidR="00C01189">
        <w:t xml:space="preserve">, but </w:t>
      </w:r>
      <w:r w:rsidR="00E26E94">
        <w:t>we knew that</w:t>
      </w:r>
      <w:r w:rsidR="00C01189">
        <w:t xml:space="preserve"> it would </w:t>
      </w:r>
      <w:r w:rsidR="00E26E94">
        <w:t xml:space="preserve">not </w:t>
      </w:r>
      <w:r w:rsidR="00631A29">
        <w:t>let the President’s policy stand</w:t>
      </w:r>
      <w:r w:rsidR="00C01189">
        <w:t xml:space="preserve"> without a fight. </w:t>
      </w:r>
    </w:p>
    <w:p w14:paraId="0FA03249" w14:textId="2E1B785E" w:rsidR="00910BC0" w:rsidRDefault="00E42B9A">
      <w:r>
        <w:lastRenderedPageBreak/>
        <w:t>Normalization was a very successful policy in that it demonstrably served the inter</w:t>
      </w:r>
      <w:r w:rsidR="006B48ED">
        <w:t>ests of both countries</w:t>
      </w:r>
      <w:r w:rsidR="001C05A9">
        <w:t xml:space="preserve">, but </w:t>
      </w:r>
      <w:r w:rsidR="00AA6FAF" w:rsidRPr="00AA6FAF">
        <w:t xml:space="preserve">it was not entirely surprising how easily and thoroughly President Trump was able to </w:t>
      </w:r>
      <w:r w:rsidR="00FB01C4">
        <w:t>stop</w:t>
      </w:r>
      <w:r w:rsidR="00044343">
        <w:t xml:space="preserve"> it</w:t>
      </w:r>
      <w:r w:rsidR="004A21F9">
        <w:t xml:space="preserve">, nor how easy it was </w:t>
      </w:r>
      <w:r w:rsidR="00503C71">
        <w:t xml:space="preserve">for </w:t>
      </w:r>
      <w:r w:rsidR="00BE3348">
        <w:t xml:space="preserve">President </w:t>
      </w:r>
      <w:r w:rsidR="00503C71">
        <w:t xml:space="preserve">Biden to </w:t>
      </w:r>
      <w:r w:rsidR="00631A29">
        <w:t xml:space="preserve">continue </w:t>
      </w:r>
      <w:r w:rsidR="00BE3348">
        <w:t xml:space="preserve">and even deepen </w:t>
      </w:r>
      <w:r w:rsidR="00631A29">
        <w:t>Trump's policies</w:t>
      </w:r>
      <w:r w:rsidR="002F4C8D">
        <w:t xml:space="preserve"> for his four years in office</w:t>
      </w:r>
      <w:r w:rsidR="00AA6FAF" w:rsidRPr="00AA6FAF">
        <w:t>.</w:t>
      </w:r>
      <w:r w:rsidR="00BE3348">
        <w:t xml:space="preserve"> </w:t>
      </w:r>
      <w:r w:rsidR="00C92D30">
        <w:t xml:space="preserve">The Trump-Biden </w:t>
      </w:r>
      <w:r w:rsidR="009D38A6">
        <w:t xml:space="preserve">administrations have been unable to identify the national interests served by their shared </w:t>
      </w:r>
      <w:r w:rsidR="00C92D30">
        <w:t>policy</w:t>
      </w:r>
      <w:r w:rsidR="00631A29">
        <w:t xml:space="preserve"> </w:t>
      </w:r>
      <w:r w:rsidR="009D38A6">
        <w:t xml:space="preserve">– indeed, </w:t>
      </w:r>
      <w:r w:rsidR="00BE3348">
        <w:t>they have</w:t>
      </w:r>
      <w:r w:rsidR="006E7754">
        <w:t xml:space="preserve"> flouted some goals such as controlled migration</w:t>
      </w:r>
      <w:r w:rsidR="00BE3348">
        <w:t xml:space="preserve"> </w:t>
      </w:r>
      <w:r w:rsidR="00F2362A">
        <w:t xml:space="preserve">– and, as we saw on 5 November, it </w:t>
      </w:r>
      <w:r w:rsidR="00910BC0">
        <w:t xml:space="preserve">did not remotely serve the Biden/Harris Administration’s vaunted ambition of </w:t>
      </w:r>
      <w:r w:rsidR="00631A29">
        <w:t xml:space="preserve">closing its gap with the Republicans in </w:t>
      </w:r>
      <w:r w:rsidR="00910BC0">
        <w:t>the Florida vote.</w:t>
      </w:r>
      <w:r w:rsidR="00265403">
        <w:t xml:space="preserve"> </w:t>
      </w:r>
      <w:r w:rsidR="00631A29">
        <w:t>It was a silly thought based on a badly flawed analysis of the 2020 election results.</w:t>
      </w:r>
    </w:p>
    <w:p w14:paraId="4E697F65" w14:textId="415EBFCC" w:rsidR="00104720" w:rsidRDefault="001C05A9">
      <w:r>
        <w:t>When I was</w:t>
      </w:r>
      <w:r w:rsidR="00EB393E">
        <w:t xml:space="preserve"> invited to this conference, I proposed </w:t>
      </w:r>
      <w:r w:rsidR="00B57D43">
        <w:t>we</w:t>
      </w:r>
      <w:r w:rsidR="00EB393E">
        <w:t xml:space="preserve"> study why it was so easy</w:t>
      </w:r>
      <w:r w:rsidR="002F4C8D">
        <w:t xml:space="preserve"> for </w:t>
      </w:r>
      <w:r w:rsidR="00B6549D">
        <w:t>Trump</w:t>
      </w:r>
      <w:r w:rsidR="00265403">
        <w:t xml:space="preserve"> and </w:t>
      </w:r>
      <w:r w:rsidR="00B6549D">
        <w:t xml:space="preserve">Biden to </w:t>
      </w:r>
      <w:r w:rsidR="00265403">
        <w:t>halt and largely reverse normalization.</w:t>
      </w:r>
      <w:r w:rsidR="00643A21">
        <w:t xml:space="preserve"> My idea was that the </w:t>
      </w:r>
      <w:r w:rsidR="00350D65">
        <w:t xml:space="preserve">good analysis would identify </w:t>
      </w:r>
      <w:r w:rsidR="00B33FCE">
        <w:t>how future U.S. administrations could, if they want</w:t>
      </w:r>
      <w:r w:rsidR="004B529D">
        <w:t>ed</w:t>
      </w:r>
      <w:r w:rsidR="00B33FCE">
        <w:t>, put it back on track.</w:t>
      </w:r>
      <w:r w:rsidR="00A933E1">
        <w:t xml:space="preserve"> I don’t think the team </w:t>
      </w:r>
      <w:r w:rsidR="00631A29">
        <w:t xml:space="preserve">that we now </w:t>
      </w:r>
      <w:r w:rsidR="00810E7C">
        <w:t xml:space="preserve">see </w:t>
      </w:r>
      <w:r w:rsidR="004B529D">
        <w:t>re-</w:t>
      </w:r>
      <w:r w:rsidR="00A933E1">
        <w:t xml:space="preserve">entering on duty on 20 January is going to want to, but </w:t>
      </w:r>
      <w:r w:rsidR="00104720">
        <w:t>compiling the “lessons learned” is nonetheless worthwhile.</w:t>
      </w:r>
      <w:r w:rsidR="00BE3348">
        <w:t xml:space="preserve"> </w:t>
      </w:r>
    </w:p>
    <w:p w14:paraId="28A79A92" w14:textId="509400B1" w:rsidR="00C11FC4" w:rsidRDefault="004B529D">
      <w:r>
        <w:t>S</w:t>
      </w:r>
      <w:r w:rsidR="00D51B2A">
        <w:t xml:space="preserve">peaking from the Washington perspective at least </w:t>
      </w:r>
      <w:r>
        <w:t xml:space="preserve">… </w:t>
      </w:r>
      <w:r w:rsidR="00AA6FAF" w:rsidRPr="00AA6FAF">
        <w:t>the warning signs about the fragility of the agreement, even among individuals claiming to support normalization, were evident early on.</w:t>
      </w:r>
      <w:r w:rsidR="00BE3348">
        <w:t xml:space="preserve"> </w:t>
      </w:r>
      <w:r>
        <w:t>I</w:t>
      </w:r>
      <w:r w:rsidR="00B67163">
        <w:t>t’s easy to note that normalization was easily reversed because it was built on executive orders rather than legislation</w:t>
      </w:r>
      <w:r w:rsidR="002E5210">
        <w:t>, but that begs the question why.</w:t>
      </w:r>
      <w:r>
        <w:t xml:space="preserve"> Let’s explore the reasons.</w:t>
      </w:r>
    </w:p>
    <w:p w14:paraId="471786CE" w14:textId="58EB79C4" w:rsidR="00092D65" w:rsidRDefault="00F93E13" w:rsidP="00092D65">
      <w:pPr>
        <w:pStyle w:val="bullet"/>
      </w:pPr>
      <w:r>
        <w:t>One, i</w:t>
      </w:r>
      <w:r w:rsidR="00AA6FAF" w:rsidRPr="006F106B">
        <w:rPr>
          <w:rStyle w:val="bulletChar"/>
        </w:rPr>
        <w:t>n</w:t>
      </w:r>
      <w:r w:rsidR="00C11FC4" w:rsidRPr="006F106B">
        <w:rPr>
          <w:rStyle w:val="bulletChar"/>
        </w:rPr>
        <w:t>side</w:t>
      </w:r>
      <w:r w:rsidR="00AA6FAF" w:rsidRPr="006F106B">
        <w:rPr>
          <w:rStyle w:val="bulletChar"/>
        </w:rPr>
        <w:t xml:space="preserve"> the Administration, debate flared over </w:t>
      </w:r>
      <w:r w:rsidR="00D70E17">
        <w:rPr>
          <w:rStyle w:val="bulletChar"/>
        </w:rPr>
        <w:t>how</w:t>
      </w:r>
      <w:r w:rsidR="00636BE8">
        <w:rPr>
          <w:rStyle w:val="bulletChar"/>
        </w:rPr>
        <w:t xml:space="preserve"> </w:t>
      </w:r>
      <w:r w:rsidR="00636BE8" w:rsidRPr="00636BE8">
        <w:rPr>
          <w:rStyle w:val="bulletChar"/>
          <w:i/>
          <w:iCs/>
        </w:rPr>
        <w:t>new</w:t>
      </w:r>
      <w:r w:rsidR="00D70E17" w:rsidRPr="006F106B">
        <w:rPr>
          <w:rStyle w:val="bulletChar"/>
        </w:rPr>
        <w:t xml:space="preserve"> </w:t>
      </w:r>
      <w:r w:rsidR="00AA6FAF" w:rsidRPr="006F106B">
        <w:rPr>
          <w:rStyle w:val="bulletChar"/>
        </w:rPr>
        <w:t>Obama wanted</w:t>
      </w:r>
      <w:r w:rsidR="004B529D">
        <w:rPr>
          <w:rStyle w:val="bulletChar"/>
        </w:rPr>
        <w:t xml:space="preserve"> his</w:t>
      </w:r>
      <w:r w:rsidR="00AA6FAF" w:rsidRPr="006F106B">
        <w:rPr>
          <w:rStyle w:val="bulletChar"/>
        </w:rPr>
        <w:t xml:space="preserve"> </w:t>
      </w:r>
      <w:r w:rsidR="00AA6FAF" w:rsidRPr="00092D65">
        <w:rPr>
          <w:rStyle w:val="bulletChar"/>
          <w:i/>
          <w:iCs/>
        </w:rPr>
        <w:t>new</w:t>
      </w:r>
      <w:r w:rsidR="00AA6FAF" w:rsidRPr="006F106B">
        <w:rPr>
          <w:rStyle w:val="bulletChar"/>
        </w:rPr>
        <w:t xml:space="preserve"> Cuba policy </w:t>
      </w:r>
      <w:r w:rsidR="0046797E">
        <w:rPr>
          <w:rStyle w:val="bulletChar"/>
        </w:rPr>
        <w:t>to be.</w:t>
      </w:r>
      <w:r w:rsidR="00BE3348">
        <w:rPr>
          <w:rStyle w:val="bulletChar"/>
        </w:rPr>
        <w:t xml:space="preserve"> </w:t>
      </w:r>
      <w:r w:rsidR="0046797E">
        <w:rPr>
          <w:rStyle w:val="bulletChar"/>
        </w:rPr>
        <w:t xml:space="preserve">Was he </w:t>
      </w:r>
      <w:r w:rsidR="00AA6FAF" w:rsidRPr="006F106B">
        <w:rPr>
          <w:rStyle w:val="bulletChar"/>
        </w:rPr>
        <w:t xml:space="preserve">rejecting 60 years of failed efforts of forcing “regime change” in Cuba </w:t>
      </w:r>
      <w:r w:rsidR="004B529D">
        <w:rPr>
          <w:rStyle w:val="bulletChar"/>
        </w:rPr>
        <w:t xml:space="preserve">– </w:t>
      </w:r>
      <w:r w:rsidR="00AA6FAF" w:rsidRPr="006F106B">
        <w:rPr>
          <w:rStyle w:val="bulletChar"/>
        </w:rPr>
        <w:t xml:space="preserve">and </w:t>
      </w:r>
      <w:r w:rsidR="00634C9D">
        <w:rPr>
          <w:rStyle w:val="bulletChar"/>
        </w:rPr>
        <w:t>becoming</w:t>
      </w:r>
      <w:r w:rsidR="00BE3348">
        <w:rPr>
          <w:rStyle w:val="bulletChar"/>
        </w:rPr>
        <w:t xml:space="preserve"> </w:t>
      </w:r>
      <w:r w:rsidR="00AA6FAF" w:rsidRPr="00092D65">
        <w:rPr>
          <w:rStyle w:val="bulletChar"/>
        </w:rPr>
        <w:t>open to peaceful coexistence and evolutionary change based on both countries’ interests</w:t>
      </w:r>
      <w:r w:rsidR="004B529D">
        <w:rPr>
          <w:rStyle w:val="bulletChar"/>
        </w:rPr>
        <w:t xml:space="preserve"> –</w:t>
      </w:r>
      <w:r w:rsidR="007B457A">
        <w:rPr>
          <w:rStyle w:val="bulletChar"/>
        </w:rPr>
        <w:t xml:space="preserve"> or was he</w:t>
      </w:r>
      <w:r w:rsidR="00BE3348">
        <w:t xml:space="preserve"> </w:t>
      </w:r>
      <w:r w:rsidR="00AA6FAF" w:rsidRPr="00AA6FAF">
        <w:t xml:space="preserve">merely </w:t>
      </w:r>
      <w:r w:rsidR="007B457A">
        <w:t xml:space="preserve">seeking </w:t>
      </w:r>
      <w:r w:rsidR="00AA6FAF" w:rsidRPr="00AA6FAF">
        <w:t>the same regime-change goal through kinder, gentler means.</w:t>
      </w:r>
      <w:r w:rsidR="00BE3348">
        <w:t xml:space="preserve"> </w:t>
      </w:r>
      <w:r w:rsidR="00631A29">
        <w:t xml:space="preserve">The </w:t>
      </w:r>
      <w:r w:rsidR="004B529D">
        <w:t xml:space="preserve">part of the </w:t>
      </w:r>
      <w:r w:rsidR="00631A29">
        <w:t>debate that I was privy to revolved around the phrase “the Cuban people” – and whether it included people in and supportive of the Cuban Government, or whether it included only what some in Washington called “agents of change.”</w:t>
      </w:r>
      <w:r w:rsidR="00BE3348">
        <w:t xml:space="preserve"> </w:t>
      </w:r>
      <w:r w:rsidR="008B196E">
        <w:t>Secret</w:t>
      </w:r>
      <w:r w:rsidR="00480A6C">
        <w:t>ary of State John Kerry</w:t>
      </w:r>
      <w:r w:rsidR="00965152">
        <w:t>,</w:t>
      </w:r>
      <w:r w:rsidR="00480A6C">
        <w:t xml:space="preserve"> at the ceremony reopening the U.S. Embassy here in Havana </w:t>
      </w:r>
      <w:r>
        <w:t>in August 2015</w:t>
      </w:r>
      <w:r w:rsidR="00576034">
        <w:t>,</w:t>
      </w:r>
      <w:r w:rsidR="00BE3348">
        <w:t xml:space="preserve"> </w:t>
      </w:r>
      <w:r>
        <w:t xml:space="preserve">said </w:t>
      </w:r>
      <w:r w:rsidR="00DC3172">
        <w:t>“The future is for Cubans to shape</w:t>
      </w:r>
      <w:r w:rsidR="00576034">
        <w:t>.</w:t>
      </w:r>
      <w:r w:rsidR="00DC3172">
        <w:t>”</w:t>
      </w:r>
      <w:r>
        <w:t xml:space="preserve"> </w:t>
      </w:r>
      <w:r w:rsidR="001C2EE2">
        <w:t xml:space="preserve">President Obama’s statements during his visit </w:t>
      </w:r>
      <w:r>
        <w:t xml:space="preserve">the following March </w:t>
      </w:r>
      <w:r w:rsidR="00220453">
        <w:t>s</w:t>
      </w:r>
      <w:r w:rsidR="00275E17">
        <w:t>poke more directly to the agents of change</w:t>
      </w:r>
      <w:r w:rsidR="001C2EE2">
        <w:t>.</w:t>
      </w:r>
      <w:r w:rsidR="00BE3348">
        <w:t xml:space="preserve"> </w:t>
      </w:r>
      <w:r>
        <w:t xml:space="preserve">That leads me to the second dynamic. </w:t>
      </w:r>
      <w:r w:rsidR="009D6769">
        <w:t>.</w:t>
      </w:r>
    </w:p>
    <w:p w14:paraId="13B81F67" w14:textId="3EF41DBF" w:rsidR="001C2EE2" w:rsidRDefault="00F93E13" w:rsidP="00092D65">
      <w:pPr>
        <w:pStyle w:val="bullet"/>
      </w:pPr>
      <w:r>
        <w:t>The people who receive millions of dollars to support the “agents of change,” including one fellow who worked in Obama’s NSC Staff</w:t>
      </w:r>
      <w:r w:rsidR="00896AAB">
        <w:t xml:space="preserve"> after normalization started</w:t>
      </w:r>
      <w:r>
        <w:t xml:space="preserve">, pushed their interpretation and, as you can see, </w:t>
      </w:r>
      <w:r w:rsidR="007921ED">
        <w:t>the industry’s view prevailed</w:t>
      </w:r>
      <w:r>
        <w:t xml:space="preserve">. </w:t>
      </w:r>
      <w:r w:rsidR="00AA6FAF" w:rsidRPr="00AA6FAF">
        <w:t xml:space="preserve">The departments and agencies that had administered tens of millions in annual "democracy promotion" cash, backed by their Senate and House allies, </w:t>
      </w:r>
      <w:r>
        <w:t>have always</w:t>
      </w:r>
      <w:r w:rsidR="00AA6FAF" w:rsidRPr="00AA6FAF">
        <w:t xml:space="preserve"> prioritiz</w:t>
      </w:r>
      <w:r>
        <w:t>ed</w:t>
      </w:r>
      <w:r w:rsidR="00AA6FAF" w:rsidRPr="00AA6FAF">
        <w:t xml:space="preserve"> engagement with “opposition” elements while leaving the embargo and most structural limitations on national engagement in place.</w:t>
      </w:r>
      <w:r w:rsidR="00BE3348">
        <w:t xml:space="preserve"> </w:t>
      </w:r>
      <w:r w:rsidR="001C2EE2">
        <w:t>These agencies had</w:t>
      </w:r>
      <w:r w:rsidR="005229DB">
        <w:t xml:space="preserve"> spent hundreds of millions of dollars in regime-change </w:t>
      </w:r>
      <w:r w:rsidR="00A46F3A">
        <w:t>political</w:t>
      </w:r>
      <w:r w:rsidR="005229DB">
        <w:t xml:space="preserve"> programs </w:t>
      </w:r>
      <w:r w:rsidR="00A46F3A">
        <w:t xml:space="preserve">that, unlike covert actions carried out by the Intelligence Community, </w:t>
      </w:r>
      <w:r>
        <w:t>a</w:t>
      </w:r>
      <w:r w:rsidR="00A46F3A">
        <w:t xml:space="preserve">re executed outside the </w:t>
      </w:r>
      <w:r w:rsidR="004226CE">
        <w:t xml:space="preserve">Presidential and </w:t>
      </w:r>
      <w:r w:rsidR="00A46F3A">
        <w:t>Congressional reporting requirements imposed by the National Security Act</w:t>
      </w:r>
      <w:r w:rsidR="00035680">
        <w:t xml:space="preserve"> – which means their impact </w:t>
      </w:r>
      <w:r>
        <w:t xml:space="preserve">and even their consistency with policy are </w:t>
      </w:r>
      <w:r w:rsidR="002469C9">
        <w:t xml:space="preserve">not </w:t>
      </w:r>
      <w:r w:rsidR="00775A66">
        <w:t xml:space="preserve">subject to </w:t>
      </w:r>
      <w:r w:rsidR="00094360">
        <w:t xml:space="preserve">serious </w:t>
      </w:r>
      <w:r w:rsidR="00775A66">
        <w:t>oversight</w:t>
      </w:r>
      <w:r w:rsidR="00A46F3A">
        <w:t>.</w:t>
      </w:r>
      <w:r w:rsidR="00BE3348">
        <w:t xml:space="preserve"> </w:t>
      </w:r>
      <w:r w:rsidR="00E878B1">
        <w:t xml:space="preserve">Also distinct from intelligence operations, </w:t>
      </w:r>
      <w:r w:rsidR="006657BC">
        <w:t>these are permitted to influence U.S.-based audiences, think tanks, and ultimate</w:t>
      </w:r>
      <w:r>
        <w:t>ly</w:t>
      </w:r>
      <w:r w:rsidR="006657BC">
        <w:t xml:space="preserve"> political </w:t>
      </w:r>
      <w:r w:rsidR="002F460A">
        <w:t xml:space="preserve">deliberations. </w:t>
      </w:r>
      <w:r w:rsidR="00775A66">
        <w:t xml:space="preserve">Washington is awash in information about Cuba that itself has directed. </w:t>
      </w:r>
      <w:r w:rsidR="002F460A">
        <w:t xml:space="preserve">The </w:t>
      </w:r>
      <w:r>
        <w:t>firewall between covert operations and policy is</w:t>
      </w:r>
      <w:r w:rsidR="002F460A">
        <w:t xml:space="preserve"> gone, and opponents of normalization </w:t>
      </w:r>
      <w:r>
        <w:t xml:space="preserve">have </w:t>
      </w:r>
      <w:r w:rsidR="009D6769">
        <w:t>h</w:t>
      </w:r>
      <w:r>
        <w:t>e</w:t>
      </w:r>
      <w:r w:rsidR="009D6769">
        <w:t>ld sway.</w:t>
      </w:r>
      <w:r>
        <w:t xml:space="preserve"> Similarly, the Department of Homeland </w:t>
      </w:r>
      <w:r>
        <w:lastRenderedPageBreak/>
        <w:t>Security’s provocative “doctor defector” program – to encourage Cuban doctors abroad to defect – continued apace</w:t>
      </w:r>
      <w:r w:rsidR="00DC3172">
        <w:t>.</w:t>
      </w:r>
    </w:p>
    <w:p w14:paraId="39D2B9F5" w14:textId="64DB300F" w:rsidR="00620E9D" w:rsidRDefault="00F93E13" w:rsidP="00092D65">
      <w:pPr>
        <w:pStyle w:val="bullet"/>
      </w:pPr>
      <w:r>
        <w:t>Three, t</w:t>
      </w:r>
      <w:r w:rsidR="00AA6FAF" w:rsidRPr="00AA6FAF">
        <w:t xml:space="preserve">he </w:t>
      </w:r>
      <w:r w:rsidR="00620E9D">
        <w:t xml:space="preserve">Obama </w:t>
      </w:r>
      <w:r w:rsidR="009D6769">
        <w:t>A</w:t>
      </w:r>
      <w:r w:rsidR="00AA6FAF" w:rsidRPr="00AA6FAF">
        <w:t xml:space="preserve">dministration and State Department failed to establish realistic criteria for assessing the success of </w:t>
      </w:r>
      <w:r w:rsidR="00E92089">
        <w:t>normalization</w:t>
      </w:r>
      <w:r w:rsidR="00AA6FAF" w:rsidRPr="00AA6FAF">
        <w:t xml:space="preserve">. They allowed detractors to create wild expectations that no serious observer of either country's policies would say were achievable in the bilateral relationship, further yielding the field to critics. </w:t>
      </w:r>
      <w:r w:rsidR="009076C9">
        <w:t xml:space="preserve">As a result, when Cuba had not become a multi-party </w:t>
      </w:r>
      <w:r w:rsidR="00CB134A">
        <w:t xml:space="preserve">Jeffersonian democracy with a free-enterprise economy two years </w:t>
      </w:r>
      <w:r w:rsidR="00E92089">
        <w:t>later</w:t>
      </w:r>
      <w:r w:rsidR="00CB134A">
        <w:t>, opponents proclaimed the policy a failure.</w:t>
      </w:r>
      <w:r w:rsidR="00BE3348">
        <w:t xml:space="preserve"> </w:t>
      </w:r>
      <w:r w:rsidR="008B4131">
        <w:t xml:space="preserve">The </w:t>
      </w:r>
      <w:r w:rsidR="00DC3172">
        <w:t xml:space="preserve">16 </w:t>
      </w:r>
      <w:r w:rsidR="008B4131">
        <w:t>bilateral accords</w:t>
      </w:r>
      <w:r w:rsidR="00DC3172">
        <w:t xml:space="preserve"> reached by our two governments on</w:t>
      </w:r>
      <w:r w:rsidR="009F203F">
        <w:t xml:space="preserve"> a</w:t>
      </w:r>
      <w:r w:rsidR="00DC3172">
        <w:t xml:space="preserve"> broad array of issues didn’t matter.</w:t>
      </w:r>
      <w:r w:rsidR="00BE3348">
        <w:t xml:space="preserve"> </w:t>
      </w:r>
      <w:r w:rsidR="00DC3172">
        <w:t>I</w:t>
      </w:r>
      <w:r w:rsidR="008B4131">
        <w:t xml:space="preserve">ndicators of the expansion of </w:t>
      </w:r>
      <w:r w:rsidR="00E92089">
        <w:t xml:space="preserve">Cuba’s </w:t>
      </w:r>
      <w:r w:rsidR="008B4131">
        <w:t xml:space="preserve">private sector, </w:t>
      </w:r>
      <w:r w:rsidR="00FD65EC">
        <w:t xml:space="preserve">greater people-to-people contact, and deepening cooperation in areas of concern to the United States </w:t>
      </w:r>
      <w:r w:rsidR="00DC3172">
        <w:t>didn’t matter.</w:t>
      </w:r>
      <w:r w:rsidR="00BE3348">
        <w:t xml:space="preserve"> </w:t>
      </w:r>
      <w:r w:rsidR="00B647BC">
        <w:t>The</w:t>
      </w:r>
      <w:r w:rsidR="00DC3172">
        <w:t xml:space="preserve"> State Department did not defend its own accomplishments </w:t>
      </w:r>
      <w:r w:rsidR="00B9799C">
        <w:t>and let critics call the policy a failure</w:t>
      </w:r>
      <w:r w:rsidR="00DC3172">
        <w:t>.</w:t>
      </w:r>
    </w:p>
    <w:p w14:paraId="3DA6B07B" w14:textId="47CF99EC" w:rsidR="00897354" w:rsidRDefault="00DC3172" w:rsidP="00092D65">
      <w:pPr>
        <w:pStyle w:val="bullet"/>
      </w:pPr>
      <w:r>
        <w:t>Four, t</w:t>
      </w:r>
      <w:r w:rsidR="00AA6FAF" w:rsidRPr="00AA6FAF">
        <w:t xml:space="preserve">he bureaucrats also failed to counter (and indeed nurtured) bizarre, unfounded allegations that Cuba was involved in, or at least witting to, the so-called sonic attacks on U.S. personnel in Havana. This created pretexts for </w:t>
      </w:r>
      <w:r w:rsidR="00276EE2">
        <w:t xml:space="preserve">the Trump Administration </w:t>
      </w:r>
      <w:r w:rsidR="00AA6FAF" w:rsidRPr="00AA6FAF">
        <w:t>to effectively close the embassies in both capitals, suspend normalization, and abrogate the migration accords.</w:t>
      </w:r>
      <w:r w:rsidR="00BE3348">
        <w:t xml:space="preserve"> </w:t>
      </w:r>
      <w:r w:rsidR="0045599B">
        <w:t xml:space="preserve">The bureaucrats failed to counter </w:t>
      </w:r>
      <w:r w:rsidR="005A1510">
        <w:t>fake</w:t>
      </w:r>
      <w:r w:rsidR="003E5FE0">
        <w:t xml:space="preserve"> </w:t>
      </w:r>
      <w:r w:rsidR="00D20B75">
        <w:t xml:space="preserve">news about </w:t>
      </w:r>
      <w:r w:rsidR="00780582">
        <w:t>certain street protests</w:t>
      </w:r>
      <w:r w:rsidR="00040ADA">
        <w:t xml:space="preserve"> </w:t>
      </w:r>
      <w:r w:rsidR="00B73372">
        <w:t>– complex events that</w:t>
      </w:r>
      <w:r>
        <w:t xml:space="preserve">, indeed, involved thousands of spontaneous Cuban participants but also had the fingerprints of </w:t>
      </w:r>
      <w:r w:rsidR="00AB64AB">
        <w:t xml:space="preserve">Washington’s regime-change partners all over them. </w:t>
      </w:r>
      <w:r w:rsidR="006B2EEF">
        <w:t>(</w:t>
      </w:r>
      <w:r w:rsidR="00AB64AB">
        <w:t>On-island activists do not have access to the thousands of bots that mobilized protestors and international opinion at lightning speed like that.</w:t>
      </w:r>
      <w:r w:rsidR="006B2EEF">
        <w:t>)</w:t>
      </w:r>
      <w:r w:rsidR="00674150">
        <w:t xml:space="preserve"> </w:t>
      </w:r>
      <w:r w:rsidR="00B73372">
        <w:t xml:space="preserve">And, more recently, the bureaucrats </w:t>
      </w:r>
      <w:r w:rsidR="00E37AFC">
        <w:t>have failed to counter fake news about Chinese</w:t>
      </w:r>
      <w:r w:rsidR="00E92089">
        <w:t xml:space="preserve"> military and</w:t>
      </w:r>
      <w:r w:rsidR="00E37AFC">
        <w:t xml:space="preserve"> SIGINT “bases.”</w:t>
      </w:r>
      <w:r w:rsidR="00BE3348">
        <w:t xml:space="preserve"> </w:t>
      </w:r>
      <w:r w:rsidR="00AB64AB">
        <w:t>I can’t</w:t>
      </w:r>
      <w:r w:rsidR="00E37AFC">
        <w:t xml:space="preserve"> speak for the</w:t>
      </w:r>
      <w:r w:rsidR="00AB64AB">
        <w:t>se</w:t>
      </w:r>
      <w:r w:rsidR="00E37AFC">
        <w:t xml:space="preserve"> bureaucrats, but – having been one for </w:t>
      </w:r>
      <w:r w:rsidR="00BF7D63">
        <w:t xml:space="preserve">30 years – I think I can reasonably assert that their reason for not helping correct the record on these </w:t>
      </w:r>
      <w:r w:rsidR="00AB64AB">
        <w:t xml:space="preserve">factual </w:t>
      </w:r>
      <w:r w:rsidR="00BF7D63">
        <w:t xml:space="preserve">matters </w:t>
      </w:r>
      <w:r w:rsidR="00EC3CFD">
        <w:t xml:space="preserve">has nothing to do with the </w:t>
      </w:r>
      <w:r w:rsidR="00AB64AB">
        <w:t xml:space="preserve">quality of </w:t>
      </w:r>
      <w:r w:rsidR="00E92089">
        <w:t xml:space="preserve">the </w:t>
      </w:r>
      <w:r w:rsidR="00AB64AB">
        <w:t>information</w:t>
      </w:r>
      <w:r w:rsidR="00EC3CFD">
        <w:t xml:space="preserve">. </w:t>
      </w:r>
      <w:r w:rsidR="009D7736">
        <w:t>There was advantage in letting it stand</w:t>
      </w:r>
      <w:r w:rsidR="00E92089">
        <w:t xml:space="preserve">. There is also advantage in </w:t>
      </w:r>
      <w:r w:rsidR="00B3245C">
        <w:t>in asserting</w:t>
      </w:r>
      <w:r w:rsidR="00E92089">
        <w:t>, falsely,</w:t>
      </w:r>
      <w:r w:rsidR="00BE3348">
        <w:t xml:space="preserve"> </w:t>
      </w:r>
      <w:r w:rsidR="00EC3CFD">
        <w:t>that anyone arrested in any situation in which the U.S. government has an investment or other interest is a “political prisoner,” including looters, arsonists, and people overturning police cars.</w:t>
      </w:r>
    </w:p>
    <w:p w14:paraId="08439F5A" w14:textId="02CB9917" w:rsidR="008A48BB" w:rsidRDefault="008A48BB" w:rsidP="00092D65">
      <w:pPr>
        <w:pStyle w:val="bullet"/>
      </w:pPr>
      <w:r>
        <w:t xml:space="preserve">One last factor was </w:t>
      </w:r>
      <w:r w:rsidR="00506CD1">
        <w:t>perhaps the most innocent.</w:t>
      </w:r>
      <w:r w:rsidR="00BE3348">
        <w:t xml:space="preserve"> </w:t>
      </w:r>
      <w:r w:rsidR="00506CD1">
        <w:t>M</w:t>
      </w:r>
      <w:r w:rsidR="00E11399">
        <w:t>ost advocates of normalization</w:t>
      </w:r>
      <w:r w:rsidR="00A63939">
        <w:t xml:space="preserve"> forgot</w:t>
      </w:r>
      <w:r w:rsidR="00F943AF">
        <w:t xml:space="preserve">, somewhat understandably, </w:t>
      </w:r>
      <w:r w:rsidR="00E11399">
        <w:t xml:space="preserve">the smaller but more reliable engine of political support for </w:t>
      </w:r>
      <w:r w:rsidR="00DE619D">
        <w:t>better bilateral relations – which is people-to-people contact.</w:t>
      </w:r>
      <w:r w:rsidR="00BE3348">
        <w:t xml:space="preserve"> </w:t>
      </w:r>
      <w:r w:rsidR="008E5861">
        <w:t>A</w:t>
      </w:r>
      <w:r w:rsidR="00DE619D">
        <w:t xml:space="preserve">fter the disastrous missteps </w:t>
      </w:r>
      <w:r w:rsidR="008E5861">
        <w:t>that led to the signing of the Helms-Burton law in 1996, Bill Clinton’s</w:t>
      </w:r>
      <w:r w:rsidR="00324ED8">
        <w:t xml:space="preserve"> </w:t>
      </w:r>
      <w:r w:rsidR="009D149F">
        <w:t xml:space="preserve">decision to allow the people of the United States and the people of Cuba to deal directly with each other </w:t>
      </w:r>
      <w:r w:rsidR="00C44D04">
        <w:t>proved that</w:t>
      </w:r>
      <w:r w:rsidR="00BE3348">
        <w:t xml:space="preserve"> </w:t>
      </w:r>
      <w:r w:rsidR="008D0B83">
        <w:t xml:space="preserve">– </w:t>
      </w:r>
      <w:r w:rsidR="006D5F78">
        <w:t>when their</w:t>
      </w:r>
      <w:r w:rsidR="00C44D04">
        <w:t xml:space="preserve"> governments </w:t>
      </w:r>
      <w:r w:rsidR="006D5F78">
        <w:t xml:space="preserve">get out of the way </w:t>
      </w:r>
      <w:r w:rsidR="00C44D04">
        <w:t xml:space="preserve">– </w:t>
      </w:r>
      <w:r w:rsidR="006D5F78">
        <w:t>the people</w:t>
      </w:r>
      <w:r w:rsidR="00877135">
        <w:t xml:space="preserve"> on both sides are pragmatic, forward-looking good neighbors. </w:t>
      </w:r>
      <w:r w:rsidR="009A560E">
        <w:t xml:space="preserve">The term “people-to-people” has been stolen from the people and applied to </w:t>
      </w:r>
      <w:r w:rsidR="00AF7A00">
        <w:t xml:space="preserve">either </w:t>
      </w:r>
      <w:r w:rsidR="00880294">
        <w:t xml:space="preserve">regime-change programs </w:t>
      </w:r>
      <w:r w:rsidR="00AF7A00">
        <w:t xml:space="preserve">or </w:t>
      </w:r>
      <w:r w:rsidR="000E5CEC">
        <w:t xml:space="preserve">tightly limited programs </w:t>
      </w:r>
      <w:r w:rsidR="00200B7F">
        <w:t xml:space="preserve">of </w:t>
      </w:r>
      <w:r w:rsidR="003A089C">
        <w:t>activities that “support civil society … and promote the Cuban people’s independence from Cuban authorities</w:t>
      </w:r>
      <w:r w:rsidR="00C73C9F">
        <w:t xml:space="preserve">” and </w:t>
      </w:r>
      <w:r w:rsidR="008D0B83">
        <w:t>deliberately steer clear of</w:t>
      </w:r>
      <w:r w:rsidR="00C73C9F">
        <w:t xml:space="preserve"> officials or Communist Party members </w:t>
      </w:r>
      <w:r w:rsidR="008D0B83">
        <w:t xml:space="preserve">on lists created </w:t>
      </w:r>
      <w:r w:rsidR="00C73C9F">
        <w:t xml:space="preserve">by </w:t>
      </w:r>
      <w:r w:rsidR="00A8032F">
        <w:t>U.S. bureaucrats</w:t>
      </w:r>
      <w:r w:rsidR="00C73C9F">
        <w:t>.</w:t>
      </w:r>
      <w:r w:rsidR="00BE3348">
        <w:t xml:space="preserve"> </w:t>
      </w:r>
      <w:r w:rsidR="00A513CF">
        <w:t>If a future administration wants to return to policies that serve the U.S. national interest,</w:t>
      </w:r>
      <w:r w:rsidR="00EC3685">
        <w:t xml:space="preserve"> </w:t>
      </w:r>
      <w:r w:rsidR="00270176">
        <w:t>they can ask</w:t>
      </w:r>
      <w:r w:rsidR="00EC3685">
        <w:t xml:space="preserve"> </w:t>
      </w:r>
      <w:r w:rsidR="00EC3685" w:rsidRPr="008D0B83">
        <w:rPr>
          <w:i/>
          <w:iCs/>
        </w:rPr>
        <w:t>our people</w:t>
      </w:r>
      <w:r w:rsidR="0022290B">
        <w:t xml:space="preserve"> how to move forward in the relationship.</w:t>
      </w:r>
      <w:r w:rsidR="00493FC7">
        <w:t xml:space="preserve"> </w:t>
      </w:r>
    </w:p>
    <w:p w14:paraId="443B2D80" w14:textId="09B9AA47" w:rsidR="004767FF" w:rsidRDefault="00AA6FAF" w:rsidP="002222A6">
      <w:r w:rsidRPr="00AA6FAF">
        <w:lastRenderedPageBreak/>
        <w:t>Compounding the setbacks</w:t>
      </w:r>
      <w:r w:rsidR="008900B0">
        <w:t xml:space="preserve"> is the sad fact – as I lamented at a previous CIPI conference – that </w:t>
      </w:r>
      <w:r w:rsidRPr="00AA6FAF">
        <w:t xml:space="preserve">most U.S. supporters of normalization </w:t>
      </w:r>
      <w:r w:rsidR="008D0B83">
        <w:t>were too timid</w:t>
      </w:r>
      <w:r w:rsidRPr="00AA6FAF">
        <w:t xml:space="preserve"> </w:t>
      </w:r>
      <w:r w:rsidR="0022290B">
        <w:t>to defend the policy</w:t>
      </w:r>
      <w:r w:rsidR="00DE152B">
        <w:t xml:space="preserve">, </w:t>
      </w:r>
      <w:r w:rsidRPr="00AA6FAF">
        <w:t>and, even when President Biden took office, pressed only mildly and occasionally for sunshine and accountability.</w:t>
      </w:r>
      <w:r w:rsidR="00BE3348">
        <w:t xml:space="preserve"> </w:t>
      </w:r>
      <w:r w:rsidR="00C670C4">
        <w:t>Biden staffers duped them</w:t>
      </w:r>
      <w:r w:rsidR="003B547A">
        <w:t xml:space="preserve"> into thinking he would fulfill his campaign pledge</w:t>
      </w:r>
      <w:r w:rsidR="00A10418">
        <w:t xml:space="preserve"> to </w:t>
      </w:r>
      <w:r w:rsidR="000E259B">
        <w:t>“in large part</w:t>
      </w:r>
      <w:r w:rsidR="001F7FD2">
        <w:t xml:space="preserve"> go back [to Obama policies].” </w:t>
      </w:r>
      <w:r w:rsidR="00C60A1E">
        <w:t>Our “progressives” have been missing in action</w:t>
      </w:r>
      <w:r w:rsidR="008A48BB">
        <w:t>, pulling their punches in hopes that</w:t>
      </w:r>
      <w:r w:rsidR="00E1244C">
        <w:t xml:space="preserve"> </w:t>
      </w:r>
      <w:r w:rsidR="008D0B83">
        <w:t xml:space="preserve">– </w:t>
      </w:r>
      <w:r w:rsidR="0096138A">
        <w:t>bizarrely</w:t>
      </w:r>
      <w:r w:rsidR="00BE3348">
        <w:t xml:space="preserve"> </w:t>
      </w:r>
      <w:r w:rsidR="00591990">
        <w:t xml:space="preserve">– politicians and bureaucrats will do </w:t>
      </w:r>
      <w:r w:rsidR="008D0B83">
        <w:t xml:space="preserve">difficult </w:t>
      </w:r>
      <w:r w:rsidR="00591990">
        <w:t xml:space="preserve">things </w:t>
      </w:r>
      <w:r w:rsidR="009B2C6B">
        <w:t>without encouragement and pressure.</w:t>
      </w:r>
      <w:r w:rsidR="00BE3348">
        <w:t xml:space="preserve"> </w:t>
      </w:r>
      <w:r w:rsidR="005A12D2" w:rsidRPr="005108DF">
        <w:t>Some who say they support normalization remain enth</w:t>
      </w:r>
      <w:r w:rsidR="005A12D2" w:rsidRPr="004365DC">
        <w:t xml:space="preserve">ralled with the “sonic attack” conspiracy theories that almost shut down relations for four years. </w:t>
      </w:r>
      <w:r w:rsidR="00967647" w:rsidRPr="004365DC">
        <w:t xml:space="preserve">Some who </w:t>
      </w:r>
      <w:r w:rsidR="00754F34" w:rsidRPr="004365DC">
        <w:t>made names for themselves exposing CIA covert actions in Latin America have</w:t>
      </w:r>
      <w:r w:rsidR="00ED3694" w:rsidRPr="004365DC">
        <w:t>, through inaction,</w:t>
      </w:r>
      <w:r w:rsidR="00754F34" w:rsidRPr="004365DC">
        <w:t xml:space="preserve"> </w:t>
      </w:r>
      <w:r w:rsidR="00EE368C" w:rsidRPr="004365DC">
        <w:t xml:space="preserve">given their passive approval to the covert actions carried out by the State Department, USAID, National Endowment for Democracy, and others under the Helms-Burton law. </w:t>
      </w:r>
      <w:r w:rsidR="003F1562" w:rsidRPr="004365DC">
        <w:t>Other</w:t>
      </w:r>
      <w:r w:rsidRPr="004365DC">
        <w:t xml:space="preserve"> </w:t>
      </w:r>
      <w:r w:rsidRPr="00AA6FAF">
        <w:t>"fake news" drivers of policy, such as the nonexistent criteria for Trump and Biden to put Cuba on their list of "state sponsors of terrorism" and use it to hinder Cuba’s efforts to revive EU tourism, have prevailed.</w:t>
      </w:r>
      <w:r w:rsidR="00BE3348">
        <w:t xml:space="preserve"> </w:t>
      </w:r>
      <w:r w:rsidR="00DC15DA">
        <w:t>If false narratives are not challenged, they win.</w:t>
      </w:r>
    </w:p>
    <w:p w14:paraId="74CFDF72" w14:textId="6FA15272" w:rsidR="00234EE2" w:rsidRDefault="005C1EFE" w:rsidP="002222A6">
      <w:r>
        <w:t>Many Washington observers have pushed the line over the years that whenever the United States extend</w:t>
      </w:r>
      <w:r w:rsidR="003C5485">
        <w:t>s</w:t>
      </w:r>
      <w:r>
        <w:t xml:space="preserve"> its hand in friendship, Cuba – fearing better relations – ha</w:t>
      </w:r>
      <w:r w:rsidR="003C5485">
        <w:t>s</w:t>
      </w:r>
      <w:r>
        <w:t xml:space="preserve"> to reject it, and unleashe</w:t>
      </w:r>
      <w:r w:rsidR="003C5485">
        <w:t>s</w:t>
      </w:r>
      <w:r>
        <w:t xml:space="preserve"> mass migration, jam</w:t>
      </w:r>
      <w:r w:rsidR="003C5485">
        <w:t>s</w:t>
      </w:r>
      <w:r>
        <w:t xml:space="preserve"> radios, and sh</w:t>
      </w:r>
      <w:r w:rsidR="003C5485">
        <w:t>o</w:t>
      </w:r>
      <w:r>
        <w:t>ot</w:t>
      </w:r>
      <w:r w:rsidR="003C5485">
        <w:t>s</w:t>
      </w:r>
      <w:r>
        <w:t xml:space="preserve"> down aircraft. </w:t>
      </w:r>
      <w:r w:rsidR="00686BC5">
        <w:t>Hillary Clinton said in 2010 that</w:t>
      </w:r>
      <w:r w:rsidR="007D7644">
        <w:t>, if Cuba accepted</w:t>
      </w:r>
      <w:r w:rsidR="003C5485">
        <w:t xml:space="preserve"> better relations</w:t>
      </w:r>
      <w:r w:rsidR="007D7644">
        <w:t>, it would “los</w:t>
      </w:r>
      <w:r w:rsidR="003738E9">
        <w:t xml:space="preserve">e </w:t>
      </w:r>
      <w:r w:rsidR="003738E9" w:rsidRPr="003738E9">
        <w:t xml:space="preserve">all </w:t>
      </w:r>
      <w:r w:rsidR="00CB07E0">
        <w:t>[its]</w:t>
      </w:r>
      <w:r w:rsidR="003738E9" w:rsidRPr="003738E9">
        <w:t xml:space="preserve"> excuses</w:t>
      </w:r>
      <w:r w:rsidR="003738E9">
        <w:t>”</w:t>
      </w:r>
      <w:r w:rsidR="003738E9" w:rsidRPr="003738E9">
        <w:t xml:space="preserve"> for </w:t>
      </w:r>
      <w:r w:rsidR="00CB07E0">
        <w:t>its</w:t>
      </w:r>
      <w:r w:rsidR="00331D54">
        <w:t xml:space="preserve"> problems.</w:t>
      </w:r>
      <w:r w:rsidR="00BE3348">
        <w:t xml:space="preserve"> </w:t>
      </w:r>
      <w:r w:rsidR="00331D54">
        <w:t xml:space="preserve">Then-National Assembly President </w:t>
      </w:r>
      <w:r w:rsidR="00244730">
        <w:t xml:space="preserve">Ricardo Alarcón </w:t>
      </w:r>
      <w:r w:rsidR="007B78A3">
        <w:t xml:space="preserve">replied that </w:t>
      </w:r>
      <w:r w:rsidR="00CB07E0">
        <w:t xml:space="preserve">Cuba welcomed the challenge. </w:t>
      </w:r>
      <w:r w:rsidR="00B977EC">
        <w:t xml:space="preserve">He said </w:t>
      </w:r>
      <w:r w:rsidR="007B78A3">
        <w:t>Washington could bring it on with the stroke of a pen.</w:t>
      </w:r>
      <w:r w:rsidR="00BE3348">
        <w:t xml:space="preserve"> </w:t>
      </w:r>
    </w:p>
    <w:p w14:paraId="0D989E14" w14:textId="07B25EEC" w:rsidR="00CB0AE0" w:rsidRDefault="00234EE2" w:rsidP="002222A6">
      <w:r>
        <w:t xml:space="preserve">The Washington mindset </w:t>
      </w:r>
      <w:r w:rsidR="00F47EAB">
        <w:t xml:space="preserve">that Cuba was afraid to accept the challenge </w:t>
      </w:r>
      <w:r w:rsidR="0078720A">
        <w:t>actually helped me at the White House in the late 1990s.</w:t>
      </w:r>
      <w:r w:rsidR="00BE3348">
        <w:t xml:space="preserve"> </w:t>
      </w:r>
      <w:r w:rsidR="001D58AB">
        <w:t>The State Department agreed to some of our proposals</w:t>
      </w:r>
      <w:r w:rsidR="003D7012">
        <w:t xml:space="preserve">, such as </w:t>
      </w:r>
      <w:r w:rsidR="0078720A">
        <w:t xml:space="preserve">the </w:t>
      </w:r>
      <w:r w:rsidR="00AD4EA4">
        <w:t>Baltimore Orioles baseball exchange with Cuba</w:t>
      </w:r>
      <w:r w:rsidR="008D0B83">
        <w:t>,</w:t>
      </w:r>
      <w:r w:rsidR="00AD4EA4">
        <w:t xml:space="preserve"> </w:t>
      </w:r>
      <w:r w:rsidR="001A410F">
        <w:t xml:space="preserve">because they were convinced </w:t>
      </w:r>
      <w:r w:rsidR="008374B4">
        <w:t xml:space="preserve">Cuba </w:t>
      </w:r>
      <w:r w:rsidR="001A410F">
        <w:t>would reject the idea</w:t>
      </w:r>
      <w:r w:rsidR="00C86055">
        <w:t xml:space="preserve">. </w:t>
      </w:r>
      <w:r w:rsidR="00A91466">
        <w:t xml:space="preserve">The same logic prevailed when </w:t>
      </w:r>
      <w:r w:rsidR="003E4ACE">
        <w:t>we pressed for licenses for the Catholic Church to send hurricane assistance</w:t>
      </w:r>
      <w:r w:rsidR="0071509D">
        <w:t xml:space="preserve">, </w:t>
      </w:r>
      <w:r w:rsidR="008D0B83">
        <w:t>and on many other occasions</w:t>
      </w:r>
      <w:r w:rsidR="003F0951">
        <w:t>.</w:t>
      </w:r>
      <w:r w:rsidR="008D0B83">
        <w:t xml:space="preserve"> The logic was: Cuba is too scared to engage with us.</w:t>
      </w:r>
      <w:r w:rsidR="00BE3348">
        <w:t xml:space="preserve"> </w:t>
      </w:r>
    </w:p>
    <w:p w14:paraId="0F7C8BBB" w14:textId="633BCFED" w:rsidR="00222B82" w:rsidRDefault="002F656E" w:rsidP="002222A6">
      <w:r>
        <w:t xml:space="preserve">In fact, it’s </w:t>
      </w:r>
      <w:r w:rsidR="00623937">
        <w:t xml:space="preserve">people on our side </w:t>
      </w:r>
      <w:r w:rsidR="00821404">
        <w:t>who</w:t>
      </w:r>
      <w:r w:rsidR="00623937">
        <w:t xml:space="preserve"> </w:t>
      </w:r>
      <w:r w:rsidR="00F4078E">
        <w:t xml:space="preserve">have </w:t>
      </w:r>
      <w:r w:rsidR="00623937">
        <w:t>cook</w:t>
      </w:r>
      <w:r w:rsidR="00F4078E">
        <w:t>ed</w:t>
      </w:r>
      <w:r w:rsidR="00623937">
        <w:t xml:space="preserve"> up crises to </w:t>
      </w:r>
      <w:r w:rsidR="00CB0AE0">
        <w:t xml:space="preserve">keep Administrations from putting the national interest ahead of Miami-based political </w:t>
      </w:r>
      <w:r w:rsidR="00C67938">
        <w:t>agendas</w:t>
      </w:r>
      <w:r w:rsidR="00CB0AE0">
        <w:t xml:space="preserve">. </w:t>
      </w:r>
      <w:r w:rsidR="006E5F60">
        <w:t xml:space="preserve">We could build a pretty good chronology of </w:t>
      </w:r>
      <w:r w:rsidR="00AB5430">
        <w:t>e</w:t>
      </w:r>
      <w:r w:rsidR="00C67938">
        <w:t>xamples</w:t>
      </w:r>
      <w:r w:rsidR="0061620B">
        <w:t>. Even though President Clinton was years away from proposing normalization</w:t>
      </w:r>
      <w:r w:rsidR="008B1BC5">
        <w:t xml:space="preserve"> – if ever – </w:t>
      </w:r>
      <w:r w:rsidR="0099300C">
        <w:t xml:space="preserve">groups like </w:t>
      </w:r>
      <w:r w:rsidR="00AB5430">
        <w:t>Brothers to the Rescue escalat</w:t>
      </w:r>
      <w:r w:rsidR="0099300C">
        <w:t>ed tensions</w:t>
      </w:r>
      <w:r w:rsidR="00DE6533">
        <w:t>,</w:t>
      </w:r>
      <w:r w:rsidR="0099300C">
        <w:t xml:space="preserve"> leading to disastrous miscalculations</w:t>
      </w:r>
      <w:r w:rsidR="00DE6533">
        <w:t>,</w:t>
      </w:r>
      <w:r w:rsidR="0099300C">
        <w:t xml:space="preserve"> that led to signing of the Helms-Burton law.</w:t>
      </w:r>
      <w:r w:rsidR="00BE3348">
        <w:t xml:space="preserve"> </w:t>
      </w:r>
      <w:r w:rsidR="0099300C">
        <w:t>More recently, t</w:t>
      </w:r>
      <w:r w:rsidR="00821404">
        <w:t xml:space="preserve">he July 2021 protests, just six months after Biden took office, </w:t>
      </w:r>
      <w:r w:rsidR="0059390A">
        <w:t xml:space="preserve">revived </w:t>
      </w:r>
      <w:r w:rsidR="006E5F60">
        <w:t>triumphalist</w:t>
      </w:r>
      <w:r w:rsidR="0099300C">
        <w:t xml:space="preserve"> thinking</w:t>
      </w:r>
      <w:r w:rsidR="00600E3A">
        <w:t xml:space="preserve"> in Washington and </w:t>
      </w:r>
      <w:r w:rsidR="007F3392">
        <w:t xml:space="preserve">became an excuse </w:t>
      </w:r>
      <w:r w:rsidR="0059390A">
        <w:t xml:space="preserve">amid timorous staffers </w:t>
      </w:r>
      <w:r w:rsidR="007F3392">
        <w:t>to not explore a return to normalization</w:t>
      </w:r>
      <w:r w:rsidR="006E5F60">
        <w:t>.</w:t>
      </w:r>
      <w:r w:rsidR="00BE3348">
        <w:t xml:space="preserve"> </w:t>
      </w:r>
      <w:r w:rsidR="001D2FB1">
        <w:t xml:space="preserve">Cuba’s </w:t>
      </w:r>
      <w:r w:rsidR="0059390A">
        <w:t xml:space="preserve">arrest of </w:t>
      </w:r>
      <w:r w:rsidR="001D2FB1">
        <w:t>protest</w:t>
      </w:r>
      <w:r w:rsidR="0059390A">
        <w:t>er</w:t>
      </w:r>
      <w:r w:rsidR="001D2FB1">
        <w:t xml:space="preserve">s is still cited as </w:t>
      </w:r>
      <w:r w:rsidR="00690C33">
        <w:t>an insurmountable</w:t>
      </w:r>
      <w:r w:rsidR="001D2FB1">
        <w:t xml:space="preserve"> obstacle to </w:t>
      </w:r>
      <w:r w:rsidR="00690C33">
        <w:t>better relations.</w:t>
      </w:r>
    </w:p>
    <w:p w14:paraId="49788F73" w14:textId="3CAE1CDA" w:rsidR="006F7AB8" w:rsidRDefault="00AB4CCB" w:rsidP="002222A6">
      <w:r>
        <w:t xml:space="preserve">Here’s a key analytical </w:t>
      </w:r>
      <w:r w:rsidR="008D2537">
        <w:t>lesson</w:t>
      </w:r>
      <w:r>
        <w:t xml:space="preserve"> </w:t>
      </w:r>
      <w:r w:rsidR="00042144">
        <w:t xml:space="preserve">based on an examination of Presidents </w:t>
      </w:r>
      <w:r w:rsidR="00333580">
        <w:t>Obama and Cast</w:t>
      </w:r>
      <w:r w:rsidR="00CB0CF9">
        <w:t>r</w:t>
      </w:r>
      <w:r w:rsidR="00333580">
        <w:t>o’s historic decision of 10</w:t>
      </w:r>
      <w:r w:rsidR="008D2537">
        <w:t xml:space="preserve"> </w:t>
      </w:r>
      <w:r w:rsidR="00333580">
        <w:t>years ago today:</w:t>
      </w:r>
      <w:r w:rsidR="00BE3348">
        <w:t xml:space="preserve"> </w:t>
      </w:r>
      <w:r w:rsidR="005621E9">
        <w:t xml:space="preserve">Although </w:t>
      </w:r>
      <w:r w:rsidR="009E4D5A">
        <w:t>n</w:t>
      </w:r>
      <w:r w:rsidR="00AA6FAF" w:rsidRPr="00AA6FAF">
        <w:t xml:space="preserve">ormalization proved that better relations were in the U.S. national interest, </w:t>
      </w:r>
      <w:r w:rsidR="00CB0CF9">
        <w:t>it was</w:t>
      </w:r>
      <w:r w:rsidR="00BE3348">
        <w:t xml:space="preserve"> </w:t>
      </w:r>
      <w:r w:rsidR="002F7C8A">
        <w:t xml:space="preserve">– as </w:t>
      </w:r>
      <w:r w:rsidR="00AA6FAF" w:rsidRPr="00AA6FAF">
        <w:t xml:space="preserve">Cuban skeptics </w:t>
      </w:r>
      <w:r w:rsidR="002F7C8A">
        <w:t>claimed –</w:t>
      </w:r>
      <w:r w:rsidR="005D4202">
        <w:t xml:space="preserve"> </w:t>
      </w:r>
      <w:r w:rsidR="00AA6FAF" w:rsidRPr="00AA6FAF">
        <w:t xml:space="preserve">Washington </w:t>
      </w:r>
      <w:r w:rsidR="005D4202">
        <w:t xml:space="preserve">that </w:t>
      </w:r>
      <w:r w:rsidR="00AA6FAF" w:rsidRPr="00AA6FAF">
        <w:t>couldn't accept the challenge.</w:t>
      </w:r>
    </w:p>
    <w:sectPr w:rsidR="006F7AB8" w:rsidSect="00E062F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617DE" w14:textId="77777777" w:rsidR="00005425" w:rsidRDefault="00005425" w:rsidP="00F93E13">
      <w:pPr>
        <w:spacing w:after="0"/>
      </w:pPr>
      <w:r>
        <w:separator/>
      </w:r>
    </w:p>
  </w:endnote>
  <w:endnote w:type="continuationSeparator" w:id="0">
    <w:p w14:paraId="1E062C28" w14:textId="77777777" w:rsidR="00005425" w:rsidRDefault="00005425" w:rsidP="00F93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34698"/>
      <w:docPartObj>
        <w:docPartGallery w:val="Page Numbers (Bottom of Page)"/>
        <w:docPartUnique/>
      </w:docPartObj>
    </w:sdtPr>
    <w:sdtEndPr>
      <w:rPr>
        <w:noProof/>
      </w:rPr>
    </w:sdtEndPr>
    <w:sdtContent>
      <w:p w14:paraId="67CA38C2" w14:textId="1419F40B" w:rsidR="00F93E13" w:rsidRDefault="00F93E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5F170" w14:textId="77777777" w:rsidR="00F93E13" w:rsidRDefault="00F93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002B1" w14:textId="77777777" w:rsidR="00005425" w:rsidRDefault="00005425" w:rsidP="00F93E13">
      <w:pPr>
        <w:spacing w:after="0"/>
      </w:pPr>
      <w:r>
        <w:separator/>
      </w:r>
    </w:p>
  </w:footnote>
  <w:footnote w:type="continuationSeparator" w:id="0">
    <w:p w14:paraId="4108EE3D" w14:textId="77777777" w:rsidR="00005425" w:rsidRDefault="00005425" w:rsidP="00F93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40B25"/>
    <w:multiLevelType w:val="hybridMultilevel"/>
    <w:tmpl w:val="C1926F80"/>
    <w:lvl w:ilvl="0" w:tplc="F4E20E4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849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AF"/>
    <w:rsid w:val="00004F43"/>
    <w:rsid w:val="00005000"/>
    <w:rsid w:val="00005425"/>
    <w:rsid w:val="000145A9"/>
    <w:rsid w:val="00035680"/>
    <w:rsid w:val="00040ADA"/>
    <w:rsid w:val="00042144"/>
    <w:rsid w:val="00044343"/>
    <w:rsid w:val="00073661"/>
    <w:rsid w:val="000874F3"/>
    <w:rsid w:val="00090231"/>
    <w:rsid w:val="00092D65"/>
    <w:rsid w:val="00094360"/>
    <w:rsid w:val="00096DB3"/>
    <w:rsid w:val="000E259B"/>
    <w:rsid w:val="000E5CEC"/>
    <w:rsid w:val="00100679"/>
    <w:rsid w:val="00104720"/>
    <w:rsid w:val="00112A12"/>
    <w:rsid w:val="0011693A"/>
    <w:rsid w:val="00122BAC"/>
    <w:rsid w:val="00132F83"/>
    <w:rsid w:val="00161F4A"/>
    <w:rsid w:val="001A410F"/>
    <w:rsid w:val="001A77B0"/>
    <w:rsid w:val="001B1295"/>
    <w:rsid w:val="001C05A9"/>
    <w:rsid w:val="001C2EE2"/>
    <w:rsid w:val="001D2FB1"/>
    <w:rsid w:val="001D58AB"/>
    <w:rsid w:val="001F57BB"/>
    <w:rsid w:val="001F7FD2"/>
    <w:rsid w:val="00200B7F"/>
    <w:rsid w:val="00203FD4"/>
    <w:rsid w:val="002069B5"/>
    <w:rsid w:val="00220453"/>
    <w:rsid w:val="002222A6"/>
    <w:rsid w:val="0022290B"/>
    <w:rsid w:val="00222B82"/>
    <w:rsid w:val="00234EE2"/>
    <w:rsid w:val="00244730"/>
    <w:rsid w:val="002469C9"/>
    <w:rsid w:val="00265403"/>
    <w:rsid w:val="00270176"/>
    <w:rsid w:val="00275E17"/>
    <w:rsid w:val="00276EE2"/>
    <w:rsid w:val="002826CF"/>
    <w:rsid w:val="002E5210"/>
    <w:rsid w:val="002F460A"/>
    <w:rsid w:val="002F4C8D"/>
    <w:rsid w:val="002F656E"/>
    <w:rsid w:val="002F7C8A"/>
    <w:rsid w:val="0031748F"/>
    <w:rsid w:val="00324ED8"/>
    <w:rsid w:val="00331D54"/>
    <w:rsid w:val="00333580"/>
    <w:rsid w:val="00336665"/>
    <w:rsid w:val="00350D65"/>
    <w:rsid w:val="0036076F"/>
    <w:rsid w:val="00370854"/>
    <w:rsid w:val="003738E9"/>
    <w:rsid w:val="00395E0C"/>
    <w:rsid w:val="003A089C"/>
    <w:rsid w:val="003B547A"/>
    <w:rsid w:val="003B75EC"/>
    <w:rsid w:val="003C5485"/>
    <w:rsid w:val="003D4966"/>
    <w:rsid w:val="003D7012"/>
    <w:rsid w:val="003E4ACE"/>
    <w:rsid w:val="003E5FE0"/>
    <w:rsid w:val="003F0951"/>
    <w:rsid w:val="003F1562"/>
    <w:rsid w:val="00407D60"/>
    <w:rsid w:val="004226CE"/>
    <w:rsid w:val="00434B4D"/>
    <w:rsid w:val="004365DC"/>
    <w:rsid w:val="004405AE"/>
    <w:rsid w:val="00443C0A"/>
    <w:rsid w:val="00444485"/>
    <w:rsid w:val="0045599B"/>
    <w:rsid w:val="0046797E"/>
    <w:rsid w:val="004767FF"/>
    <w:rsid w:val="00477B98"/>
    <w:rsid w:val="00480324"/>
    <w:rsid w:val="00480A6C"/>
    <w:rsid w:val="0049297B"/>
    <w:rsid w:val="00493FC7"/>
    <w:rsid w:val="004A21F9"/>
    <w:rsid w:val="004B529D"/>
    <w:rsid w:val="004B5F1A"/>
    <w:rsid w:val="004B5F87"/>
    <w:rsid w:val="00503C71"/>
    <w:rsid w:val="00506CD1"/>
    <w:rsid w:val="005108DF"/>
    <w:rsid w:val="00517B40"/>
    <w:rsid w:val="005229DB"/>
    <w:rsid w:val="00532EEE"/>
    <w:rsid w:val="005621E9"/>
    <w:rsid w:val="00562FCD"/>
    <w:rsid w:val="00574081"/>
    <w:rsid w:val="00575401"/>
    <w:rsid w:val="00576034"/>
    <w:rsid w:val="00591990"/>
    <w:rsid w:val="0059390A"/>
    <w:rsid w:val="005A12D2"/>
    <w:rsid w:val="005A1510"/>
    <w:rsid w:val="005C1EFE"/>
    <w:rsid w:val="005C74A6"/>
    <w:rsid w:val="005D4202"/>
    <w:rsid w:val="005D6BF4"/>
    <w:rsid w:val="006007E0"/>
    <w:rsid w:val="00600E3A"/>
    <w:rsid w:val="0061620B"/>
    <w:rsid w:val="006201C9"/>
    <w:rsid w:val="00620E9D"/>
    <w:rsid w:val="00623937"/>
    <w:rsid w:val="00631A29"/>
    <w:rsid w:val="00634C9D"/>
    <w:rsid w:val="00636BE8"/>
    <w:rsid w:val="00643A21"/>
    <w:rsid w:val="00660583"/>
    <w:rsid w:val="006657BC"/>
    <w:rsid w:val="00666171"/>
    <w:rsid w:val="00673FFF"/>
    <w:rsid w:val="00674150"/>
    <w:rsid w:val="006748EA"/>
    <w:rsid w:val="00682865"/>
    <w:rsid w:val="00686BC5"/>
    <w:rsid w:val="00690C33"/>
    <w:rsid w:val="00696F59"/>
    <w:rsid w:val="006A587D"/>
    <w:rsid w:val="006A6F91"/>
    <w:rsid w:val="006B2EEF"/>
    <w:rsid w:val="006B48ED"/>
    <w:rsid w:val="006D57B6"/>
    <w:rsid w:val="006D5F78"/>
    <w:rsid w:val="006E5F60"/>
    <w:rsid w:val="006E7754"/>
    <w:rsid w:val="006E7F8F"/>
    <w:rsid w:val="006F106B"/>
    <w:rsid w:val="006F37B3"/>
    <w:rsid w:val="006F7AB8"/>
    <w:rsid w:val="0071509D"/>
    <w:rsid w:val="00725959"/>
    <w:rsid w:val="007263C1"/>
    <w:rsid w:val="00744ACD"/>
    <w:rsid w:val="007511AD"/>
    <w:rsid w:val="00754F34"/>
    <w:rsid w:val="00775A66"/>
    <w:rsid w:val="00780582"/>
    <w:rsid w:val="00785012"/>
    <w:rsid w:val="0078720A"/>
    <w:rsid w:val="007921ED"/>
    <w:rsid w:val="007A1EDD"/>
    <w:rsid w:val="007B457A"/>
    <w:rsid w:val="007B78A3"/>
    <w:rsid w:val="007C50F4"/>
    <w:rsid w:val="007D7644"/>
    <w:rsid w:val="007E7282"/>
    <w:rsid w:val="007F3392"/>
    <w:rsid w:val="007F6215"/>
    <w:rsid w:val="008027ED"/>
    <w:rsid w:val="0080297A"/>
    <w:rsid w:val="00810E7C"/>
    <w:rsid w:val="00821404"/>
    <w:rsid w:val="008374B4"/>
    <w:rsid w:val="0085041C"/>
    <w:rsid w:val="00857C3E"/>
    <w:rsid w:val="00877135"/>
    <w:rsid w:val="00880294"/>
    <w:rsid w:val="008900B0"/>
    <w:rsid w:val="00896AAB"/>
    <w:rsid w:val="00897354"/>
    <w:rsid w:val="008A48BB"/>
    <w:rsid w:val="008B196E"/>
    <w:rsid w:val="008B1BC5"/>
    <w:rsid w:val="008B4131"/>
    <w:rsid w:val="008D0B83"/>
    <w:rsid w:val="008D2537"/>
    <w:rsid w:val="008E5861"/>
    <w:rsid w:val="009076C9"/>
    <w:rsid w:val="00910BC0"/>
    <w:rsid w:val="009242BF"/>
    <w:rsid w:val="0093525E"/>
    <w:rsid w:val="0096138A"/>
    <w:rsid w:val="00962400"/>
    <w:rsid w:val="00965152"/>
    <w:rsid w:val="00965458"/>
    <w:rsid w:val="00967647"/>
    <w:rsid w:val="00971F2D"/>
    <w:rsid w:val="0099300C"/>
    <w:rsid w:val="00995C6C"/>
    <w:rsid w:val="009A560E"/>
    <w:rsid w:val="009A5971"/>
    <w:rsid w:val="009B2C6B"/>
    <w:rsid w:val="009D149F"/>
    <w:rsid w:val="009D38A6"/>
    <w:rsid w:val="009D6769"/>
    <w:rsid w:val="009D7736"/>
    <w:rsid w:val="009E4D5A"/>
    <w:rsid w:val="009F203F"/>
    <w:rsid w:val="00A10418"/>
    <w:rsid w:val="00A46F3A"/>
    <w:rsid w:val="00A513CF"/>
    <w:rsid w:val="00A600CB"/>
    <w:rsid w:val="00A61C9F"/>
    <w:rsid w:val="00A63939"/>
    <w:rsid w:val="00A647B0"/>
    <w:rsid w:val="00A731BA"/>
    <w:rsid w:val="00A77C39"/>
    <w:rsid w:val="00A8032F"/>
    <w:rsid w:val="00A831CB"/>
    <w:rsid w:val="00A9108E"/>
    <w:rsid w:val="00A91466"/>
    <w:rsid w:val="00A933E1"/>
    <w:rsid w:val="00AA6FAF"/>
    <w:rsid w:val="00AB4CCB"/>
    <w:rsid w:val="00AB5430"/>
    <w:rsid w:val="00AB64AB"/>
    <w:rsid w:val="00AD4EA4"/>
    <w:rsid w:val="00AD5099"/>
    <w:rsid w:val="00AE21C5"/>
    <w:rsid w:val="00AE72C6"/>
    <w:rsid w:val="00AF7352"/>
    <w:rsid w:val="00AF7A00"/>
    <w:rsid w:val="00B0392E"/>
    <w:rsid w:val="00B2129F"/>
    <w:rsid w:val="00B27337"/>
    <w:rsid w:val="00B3245C"/>
    <w:rsid w:val="00B33FCE"/>
    <w:rsid w:val="00B52410"/>
    <w:rsid w:val="00B57D43"/>
    <w:rsid w:val="00B6177F"/>
    <w:rsid w:val="00B647BC"/>
    <w:rsid w:val="00B6549D"/>
    <w:rsid w:val="00B67163"/>
    <w:rsid w:val="00B73372"/>
    <w:rsid w:val="00B977EC"/>
    <w:rsid w:val="00B9799C"/>
    <w:rsid w:val="00BA1AEB"/>
    <w:rsid w:val="00BA5620"/>
    <w:rsid w:val="00BD2336"/>
    <w:rsid w:val="00BE3348"/>
    <w:rsid w:val="00BF21D3"/>
    <w:rsid w:val="00BF7D63"/>
    <w:rsid w:val="00C01189"/>
    <w:rsid w:val="00C02DA6"/>
    <w:rsid w:val="00C11FC4"/>
    <w:rsid w:val="00C27485"/>
    <w:rsid w:val="00C30083"/>
    <w:rsid w:val="00C306E4"/>
    <w:rsid w:val="00C44D04"/>
    <w:rsid w:val="00C60A1E"/>
    <w:rsid w:val="00C670C4"/>
    <w:rsid w:val="00C67938"/>
    <w:rsid w:val="00C73C9F"/>
    <w:rsid w:val="00C83173"/>
    <w:rsid w:val="00C86055"/>
    <w:rsid w:val="00C92D30"/>
    <w:rsid w:val="00CA5415"/>
    <w:rsid w:val="00CB07E0"/>
    <w:rsid w:val="00CB0AE0"/>
    <w:rsid w:val="00CB0CF9"/>
    <w:rsid w:val="00CB134A"/>
    <w:rsid w:val="00CD2777"/>
    <w:rsid w:val="00CE4706"/>
    <w:rsid w:val="00D20B75"/>
    <w:rsid w:val="00D51B2A"/>
    <w:rsid w:val="00D6521B"/>
    <w:rsid w:val="00D70E17"/>
    <w:rsid w:val="00D72C43"/>
    <w:rsid w:val="00D7496C"/>
    <w:rsid w:val="00DA064F"/>
    <w:rsid w:val="00DC0918"/>
    <w:rsid w:val="00DC15DA"/>
    <w:rsid w:val="00DC3172"/>
    <w:rsid w:val="00DD2D02"/>
    <w:rsid w:val="00DE152B"/>
    <w:rsid w:val="00DE619D"/>
    <w:rsid w:val="00DE6533"/>
    <w:rsid w:val="00E062F0"/>
    <w:rsid w:val="00E11399"/>
    <w:rsid w:val="00E1244C"/>
    <w:rsid w:val="00E26E94"/>
    <w:rsid w:val="00E37AFC"/>
    <w:rsid w:val="00E425C8"/>
    <w:rsid w:val="00E42B9A"/>
    <w:rsid w:val="00E878B1"/>
    <w:rsid w:val="00E92089"/>
    <w:rsid w:val="00EA0D4D"/>
    <w:rsid w:val="00EA5C5C"/>
    <w:rsid w:val="00EB393E"/>
    <w:rsid w:val="00EC3685"/>
    <w:rsid w:val="00EC3CFD"/>
    <w:rsid w:val="00ED3694"/>
    <w:rsid w:val="00EE368C"/>
    <w:rsid w:val="00EE59B2"/>
    <w:rsid w:val="00EF1A33"/>
    <w:rsid w:val="00EF425E"/>
    <w:rsid w:val="00F2362A"/>
    <w:rsid w:val="00F26D7B"/>
    <w:rsid w:val="00F3166A"/>
    <w:rsid w:val="00F4078E"/>
    <w:rsid w:val="00F47EAB"/>
    <w:rsid w:val="00F739F4"/>
    <w:rsid w:val="00F82327"/>
    <w:rsid w:val="00F93E13"/>
    <w:rsid w:val="00F943AF"/>
    <w:rsid w:val="00FB01C4"/>
    <w:rsid w:val="00FB3347"/>
    <w:rsid w:val="00FC36E3"/>
    <w:rsid w:val="00FD18A7"/>
    <w:rsid w:val="00FD6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E0D9"/>
  <w15:chartTrackingRefBased/>
  <w15:docId w15:val="{24240999-7F2B-45BD-B1CF-08E422AD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AF"/>
    <w:pPr>
      <w:spacing w:after="240" w:line="240" w:lineRule="auto"/>
    </w:pPr>
    <w:rPr>
      <w:rFonts w:ascii="Times New Roman" w:hAnsi="Times New Roman"/>
      <w:szCs w:val="22"/>
    </w:rPr>
  </w:style>
  <w:style w:type="paragraph" w:styleId="Heading1">
    <w:name w:val="heading 1"/>
    <w:basedOn w:val="Normal"/>
    <w:next w:val="Normal"/>
    <w:link w:val="Heading1Char"/>
    <w:uiPriority w:val="9"/>
    <w:qFormat/>
    <w:rsid w:val="00AA6FA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FA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FAF"/>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FAF"/>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AA6FAF"/>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AA6FAF"/>
    <w:pPr>
      <w:keepNext/>
      <w:keepLines/>
      <w:spacing w:before="40" w:after="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AA6FAF"/>
    <w:pPr>
      <w:keepNext/>
      <w:keepLines/>
      <w:spacing w:before="40" w:after="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AA6FAF"/>
    <w:pPr>
      <w:keepNext/>
      <w:keepLines/>
      <w:spacing w:after="0"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AA6FAF"/>
    <w:pPr>
      <w:keepNext/>
      <w:keepLines/>
      <w:spacing w:after="0"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FAF"/>
    <w:rPr>
      <w:rFonts w:eastAsiaTheme="majorEastAsia" w:cstheme="majorBidi"/>
      <w:color w:val="272727" w:themeColor="text1" w:themeTint="D8"/>
    </w:rPr>
  </w:style>
  <w:style w:type="paragraph" w:styleId="Title">
    <w:name w:val="Title"/>
    <w:basedOn w:val="Normal"/>
    <w:next w:val="Normal"/>
    <w:link w:val="TitleChar"/>
    <w:uiPriority w:val="10"/>
    <w:qFormat/>
    <w:rsid w:val="00AA6F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FAF"/>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FAF"/>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AA6FAF"/>
    <w:rPr>
      <w:i/>
      <w:iCs/>
      <w:color w:val="404040" w:themeColor="text1" w:themeTint="BF"/>
    </w:rPr>
  </w:style>
  <w:style w:type="paragraph" w:styleId="ListParagraph">
    <w:name w:val="List Paragraph"/>
    <w:basedOn w:val="Normal"/>
    <w:uiPriority w:val="34"/>
    <w:qFormat/>
    <w:rsid w:val="00AA6FAF"/>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AA6FAF"/>
    <w:rPr>
      <w:i/>
      <w:iCs/>
      <w:color w:val="0F4761" w:themeColor="accent1" w:themeShade="BF"/>
    </w:rPr>
  </w:style>
  <w:style w:type="paragraph" w:styleId="IntenseQuote">
    <w:name w:val="Intense Quote"/>
    <w:basedOn w:val="Normal"/>
    <w:next w:val="Normal"/>
    <w:link w:val="IntenseQuoteChar"/>
    <w:uiPriority w:val="30"/>
    <w:qFormat/>
    <w:rsid w:val="00AA6F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AA6FAF"/>
    <w:rPr>
      <w:i/>
      <w:iCs/>
      <w:color w:val="0F4761" w:themeColor="accent1" w:themeShade="BF"/>
    </w:rPr>
  </w:style>
  <w:style w:type="character" w:styleId="IntenseReference">
    <w:name w:val="Intense Reference"/>
    <w:basedOn w:val="DefaultParagraphFont"/>
    <w:uiPriority w:val="32"/>
    <w:qFormat/>
    <w:rsid w:val="00AA6FAF"/>
    <w:rPr>
      <w:b/>
      <w:bCs/>
      <w:smallCaps/>
      <w:color w:val="0F4761" w:themeColor="accent1" w:themeShade="BF"/>
      <w:spacing w:val="5"/>
    </w:rPr>
  </w:style>
  <w:style w:type="paragraph" w:customStyle="1" w:styleId="bullet">
    <w:name w:val="bullet"/>
    <w:basedOn w:val="Normal"/>
    <w:link w:val="bulletChar"/>
    <w:qFormat/>
    <w:rsid w:val="006F106B"/>
    <w:pPr>
      <w:numPr>
        <w:numId w:val="1"/>
      </w:numPr>
    </w:pPr>
  </w:style>
  <w:style w:type="character" w:customStyle="1" w:styleId="bulletChar">
    <w:name w:val="bullet Char"/>
    <w:basedOn w:val="DefaultParagraphFont"/>
    <w:link w:val="bullet"/>
    <w:rsid w:val="006F106B"/>
    <w:rPr>
      <w:rFonts w:ascii="Times New Roman" w:hAnsi="Times New Roman"/>
      <w:szCs w:val="22"/>
    </w:rPr>
  </w:style>
  <w:style w:type="paragraph" w:styleId="Revision">
    <w:name w:val="Revision"/>
    <w:hidden/>
    <w:uiPriority w:val="99"/>
    <w:semiHidden/>
    <w:rsid w:val="00857C3E"/>
    <w:pPr>
      <w:spacing w:after="0" w:line="240" w:lineRule="auto"/>
    </w:pPr>
    <w:rPr>
      <w:rFonts w:ascii="Times New Roman" w:hAnsi="Times New Roman"/>
      <w:szCs w:val="22"/>
    </w:rPr>
  </w:style>
  <w:style w:type="paragraph" w:styleId="Header">
    <w:name w:val="header"/>
    <w:basedOn w:val="Normal"/>
    <w:link w:val="HeaderChar"/>
    <w:uiPriority w:val="99"/>
    <w:unhideWhenUsed/>
    <w:rsid w:val="00F93E13"/>
    <w:pPr>
      <w:tabs>
        <w:tab w:val="center" w:pos="4680"/>
        <w:tab w:val="right" w:pos="9360"/>
      </w:tabs>
      <w:spacing w:after="0"/>
    </w:pPr>
  </w:style>
  <w:style w:type="character" w:customStyle="1" w:styleId="HeaderChar">
    <w:name w:val="Header Char"/>
    <w:basedOn w:val="DefaultParagraphFont"/>
    <w:link w:val="Header"/>
    <w:uiPriority w:val="99"/>
    <w:rsid w:val="00F93E13"/>
    <w:rPr>
      <w:rFonts w:ascii="Times New Roman" w:hAnsi="Times New Roman"/>
      <w:szCs w:val="22"/>
    </w:rPr>
  </w:style>
  <w:style w:type="paragraph" w:styleId="Footer">
    <w:name w:val="footer"/>
    <w:basedOn w:val="Normal"/>
    <w:link w:val="FooterChar"/>
    <w:uiPriority w:val="99"/>
    <w:unhideWhenUsed/>
    <w:rsid w:val="00F93E13"/>
    <w:pPr>
      <w:tabs>
        <w:tab w:val="center" w:pos="4680"/>
        <w:tab w:val="right" w:pos="9360"/>
      </w:tabs>
      <w:spacing w:after="0"/>
    </w:pPr>
  </w:style>
  <w:style w:type="character" w:customStyle="1" w:styleId="FooterChar">
    <w:name w:val="Footer Char"/>
    <w:basedOn w:val="DefaultParagraphFont"/>
    <w:link w:val="Footer"/>
    <w:uiPriority w:val="99"/>
    <w:rsid w:val="00F93E13"/>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dc:creator>
  <cp:keywords/>
  <dc:description/>
  <cp:lastModifiedBy>Fulton</cp:lastModifiedBy>
  <cp:revision>2</cp:revision>
  <dcterms:created xsi:type="dcterms:W3CDTF">2024-12-05T13:42:00Z</dcterms:created>
  <dcterms:modified xsi:type="dcterms:W3CDTF">2024-12-05T13:42:00Z</dcterms:modified>
</cp:coreProperties>
</file>